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4BE5" w14:textId="77777777" w:rsidR="003005F1" w:rsidRPr="003005F1" w:rsidRDefault="003005F1" w:rsidP="003005F1">
      <w:pPr>
        <w:spacing w:before="100" w:beforeAutospacing="1" w:after="100" w:afterAutospacing="1"/>
        <w:jc w:val="center"/>
        <w:outlineLvl w:val="0"/>
        <w:rPr>
          <w:rFonts w:ascii="NewsGotR" w:hAnsi="NewsGotR"/>
          <w:b/>
          <w:bCs/>
          <w:kern w:val="36"/>
          <w:sz w:val="48"/>
          <w:szCs w:val="48"/>
        </w:rPr>
      </w:pPr>
      <w:r w:rsidRPr="003005F1">
        <w:rPr>
          <w:rFonts w:ascii="NewsGotR" w:hAnsi="NewsGotR"/>
          <w:b/>
          <w:bCs/>
          <w:kern w:val="36"/>
          <w:sz w:val="48"/>
          <w:szCs w:val="48"/>
        </w:rPr>
        <w:t>NOTA DE PRENSA</w:t>
      </w:r>
    </w:p>
    <w:p w14:paraId="48C0B5F8" w14:textId="77777777" w:rsidR="007F2D16" w:rsidRPr="007F2D16" w:rsidRDefault="003005F1" w:rsidP="007F2D16">
      <w:pPr>
        <w:spacing w:line="360" w:lineRule="auto"/>
        <w:jc w:val="both"/>
        <w:rPr>
          <w:rFonts w:ascii="NewsGotR" w:hAnsi="NewsGotR"/>
          <w:b/>
          <w:bCs/>
          <w:sz w:val="36"/>
          <w:szCs w:val="36"/>
        </w:rPr>
      </w:pPr>
      <w:r w:rsidRPr="003005F1">
        <w:rPr>
          <w:rFonts w:ascii="NewsGotR" w:hAnsi="NewsGotR"/>
          <w:b/>
          <w:bCs/>
          <w:sz w:val="36"/>
          <w:szCs w:val="36"/>
        </w:rPr>
        <w:t xml:space="preserve">El Tribunal Supremo fija doctrina sobre la competencia profesional para </w:t>
      </w:r>
      <w:r w:rsidR="007F2D16" w:rsidRPr="007F2D16">
        <w:rPr>
          <w:rFonts w:ascii="NewsGotR" w:hAnsi="NewsGotR"/>
          <w:b/>
          <w:bCs/>
          <w:sz w:val="36"/>
          <w:szCs w:val="36"/>
        </w:rPr>
        <w:t>para redactar proyectos de cambio de uso de local a vivienda</w:t>
      </w:r>
    </w:p>
    <w:p w14:paraId="4FC3395D" w14:textId="77777777" w:rsidR="003005F1" w:rsidRPr="003005F1" w:rsidRDefault="003005F1" w:rsidP="004A54E2">
      <w:pPr>
        <w:spacing w:line="360" w:lineRule="auto"/>
        <w:jc w:val="both"/>
        <w:rPr>
          <w:rFonts w:ascii="NewsGotR" w:hAnsi="NewsGotR"/>
          <w:b/>
          <w:bCs/>
          <w:sz w:val="36"/>
          <w:szCs w:val="36"/>
        </w:rPr>
      </w:pPr>
    </w:p>
    <w:p w14:paraId="7900269E" w14:textId="5E7D002C" w:rsidR="007F2D16" w:rsidRPr="007F2D16" w:rsidRDefault="007F2D16" w:rsidP="007F2D16">
      <w:pPr>
        <w:spacing w:line="360" w:lineRule="auto"/>
        <w:jc w:val="both"/>
        <w:rPr>
          <w:rFonts w:ascii="NewsGotR" w:hAnsi="NewsGotR"/>
          <w:b/>
          <w:bCs/>
          <w:sz w:val="27"/>
          <w:szCs w:val="27"/>
        </w:rPr>
      </w:pPr>
      <w:r w:rsidRPr="007F2D16">
        <w:rPr>
          <w:rFonts w:ascii="NewsGotR" w:hAnsi="NewsGotR"/>
          <w:b/>
          <w:bCs/>
          <w:sz w:val="27"/>
          <w:szCs w:val="27"/>
        </w:rPr>
        <w:t xml:space="preserve">La sentencia </w:t>
      </w:r>
      <w:r w:rsidR="00D10BD0" w:rsidRPr="00581DDB">
        <w:rPr>
          <w:rFonts w:ascii="NewsGotR" w:hAnsi="NewsGotR"/>
          <w:b/>
          <w:bCs/>
          <w:sz w:val="27"/>
          <w:szCs w:val="27"/>
        </w:rPr>
        <w:t>falla en base</w:t>
      </w:r>
      <w:r w:rsidR="00D10BD0">
        <w:rPr>
          <w:rFonts w:ascii="NewsGotR" w:hAnsi="NewsGotR"/>
          <w:b/>
          <w:bCs/>
          <w:sz w:val="27"/>
          <w:szCs w:val="27"/>
        </w:rPr>
        <w:t xml:space="preserve"> a</w:t>
      </w:r>
      <w:r w:rsidRPr="007F2D16">
        <w:rPr>
          <w:rFonts w:ascii="NewsGotR" w:hAnsi="NewsGotR"/>
          <w:b/>
          <w:bCs/>
          <w:sz w:val="27"/>
          <w:szCs w:val="27"/>
        </w:rPr>
        <w:t xml:space="preserve"> la Ley de Ordenación de la Edificación y establece que los proyectos de intervención en edificios existentes para el cambio de uso de comercial a residencial deberán ser redactados por arquitecto</w:t>
      </w:r>
    </w:p>
    <w:p w14:paraId="51E05302" w14:textId="77777777" w:rsidR="003005F1" w:rsidRDefault="003005F1" w:rsidP="004A54E2">
      <w:pPr>
        <w:spacing w:line="360" w:lineRule="auto"/>
        <w:rPr>
          <w:rFonts w:ascii="NewsGotR" w:hAnsi="NewsGotR"/>
          <w:b/>
          <w:bCs/>
          <w:sz w:val="27"/>
          <w:szCs w:val="27"/>
        </w:rPr>
      </w:pPr>
    </w:p>
    <w:p w14:paraId="1FCD70F2" w14:textId="4F997EB7" w:rsidR="004A54E2" w:rsidRDefault="004A54E2" w:rsidP="004A54E2">
      <w:pPr>
        <w:spacing w:line="360" w:lineRule="auto"/>
        <w:jc w:val="both"/>
        <w:rPr>
          <w:rFonts w:ascii="NewsGotR" w:hAnsi="NewsGotR"/>
        </w:rPr>
      </w:pPr>
      <w:r w:rsidRPr="004A54E2">
        <w:rPr>
          <w:rFonts w:ascii="NewsGotR" w:hAnsi="NewsGotR"/>
          <w:b/>
          <w:bCs/>
        </w:rPr>
        <w:t xml:space="preserve">Sevilla, </w:t>
      </w:r>
      <w:r w:rsidR="007F2D16">
        <w:rPr>
          <w:rFonts w:ascii="NewsGotR" w:hAnsi="NewsGotR"/>
          <w:b/>
          <w:bCs/>
        </w:rPr>
        <w:t>9</w:t>
      </w:r>
      <w:r w:rsidRPr="004A54E2">
        <w:rPr>
          <w:rFonts w:ascii="NewsGotR" w:hAnsi="NewsGotR"/>
          <w:b/>
          <w:bCs/>
        </w:rPr>
        <w:t xml:space="preserve"> de julio de 2026.</w:t>
      </w:r>
      <w:r w:rsidRPr="004A54E2">
        <w:rPr>
          <w:rFonts w:ascii="NewsGotR" w:hAnsi="NewsGotR"/>
        </w:rPr>
        <w:t xml:space="preserve"> El Tribunal Supremo ha dictado la sentencia </w:t>
      </w:r>
      <w:proofErr w:type="spellStart"/>
      <w:r w:rsidRPr="004A54E2">
        <w:rPr>
          <w:rFonts w:ascii="NewsGotR" w:hAnsi="NewsGotR"/>
        </w:rPr>
        <w:t>nº</w:t>
      </w:r>
      <w:proofErr w:type="spellEnd"/>
      <w:r w:rsidRPr="004A54E2">
        <w:rPr>
          <w:rFonts w:ascii="NewsGotR" w:hAnsi="NewsGotR"/>
        </w:rPr>
        <w:t xml:space="preserve"> 700/2026, de 4 de junio, en la que fija doctrina jurisprudencial sobre los artículos 2 y 10 de la Ley de Ordenación de la Edificación (LOE) respecto de la competencia profesional para la redacción de proyectos de cambio de uso de locales a viviendas.</w:t>
      </w:r>
    </w:p>
    <w:p w14:paraId="465861DE" w14:textId="77777777" w:rsidR="007F2D16" w:rsidRPr="004A54E2" w:rsidRDefault="007F2D16" w:rsidP="004A54E2">
      <w:pPr>
        <w:spacing w:line="360" w:lineRule="auto"/>
        <w:jc w:val="both"/>
        <w:rPr>
          <w:rFonts w:ascii="NewsGotR" w:hAnsi="NewsGotR"/>
        </w:rPr>
      </w:pPr>
    </w:p>
    <w:p w14:paraId="022769A5" w14:textId="77777777" w:rsidR="007F2D16" w:rsidRDefault="007F2D16" w:rsidP="004A54E2">
      <w:pPr>
        <w:spacing w:line="360" w:lineRule="auto"/>
        <w:jc w:val="both"/>
        <w:rPr>
          <w:rFonts w:ascii="NewsGotR" w:hAnsi="NewsGotR"/>
        </w:rPr>
      </w:pPr>
      <w:r w:rsidRPr="007F2D16">
        <w:rPr>
          <w:rFonts w:ascii="NewsGotR" w:hAnsi="NewsGotR"/>
        </w:rPr>
        <w:t>La resolución resuelve un recurso de casación promovido en relación con un procedimiento de licencia urbanística para el cambio de uso de un local a vivienda, en el que se discutía la titulación profesional habilitante para la redacción del correspondiente proyecto técnico.</w:t>
      </w:r>
    </w:p>
    <w:p w14:paraId="289BAA8D" w14:textId="77777777" w:rsidR="007F2D16" w:rsidRDefault="007F2D16" w:rsidP="004A54E2">
      <w:pPr>
        <w:spacing w:line="360" w:lineRule="auto"/>
        <w:jc w:val="both"/>
        <w:rPr>
          <w:rFonts w:ascii="NewsGotR" w:hAnsi="NewsGotR"/>
        </w:rPr>
      </w:pPr>
    </w:p>
    <w:p w14:paraId="7863EB17" w14:textId="77777777" w:rsidR="007F2D16" w:rsidRDefault="007F2D16" w:rsidP="007F2D16">
      <w:pPr>
        <w:spacing w:line="360" w:lineRule="auto"/>
        <w:jc w:val="both"/>
        <w:rPr>
          <w:rFonts w:ascii="NewsGotR" w:hAnsi="NewsGotR"/>
        </w:rPr>
      </w:pPr>
      <w:r w:rsidRPr="007F2D16">
        <w:rPr>
          <w:rFonts w:ascii="NewsGotR" w:hAnsi="NewsGotR"/>
        </w:rPr>
        <w:t xml:space="preserve">La sentencia recuerda la jurisprudencia consolidada del Tribunal Supremo conforme a la cual, en materia de competencias profesionales, rige el principio de </w:t>
      </w:r>
      <w:r w:rsidRPr="007F2D16">
        <w:rPr>
          <w:rFonts w:ascii="NewsGotR" w:hAnsi="NewsGotR"/>
          <w:b/>
          <w:bCs/>
        </w:rPr>
        <w:t>libertad de acceso con idoneidad</w:t>
      </w:r>
      <w:r w:rsidRPr="007F2D16">
        <w:rPr>
          <w:rFonts w:ascii="NewsGotR" w:hAnsi="NewsGotR"/>
        </w:rPr>
        <w:t>, de modo que la determinación del profesional competente debe realizarse atendiendo a la actividad concreta que se pretende desarrollar y a la regulación específica contenida en la legislación aplicable.</w:t>
      </w:r>
    </w:p>
    <w:p w14:paraId="253547C7" w14:textId="77777777" w:rsidR="007F2D16" w:rsidRPr="007F2D16" w:rsidRDefault="007F2D16" w:rsidP="007F2D16">
      <w:pPr>
        <w:spacing w:line="360" w:lineRule="auto"/>
        <w:jc w:val="both"/>
        <w:rPr>
          <w:rFonts w:ascii="NewsGotR" w:hAnsi="NewsGotR"/>
        </w:rPr>
      </w:pPr>
    </w:p>
    <w:p w14:paraId="2C3ED648" w14:textId="77777777" w:rsidR="007F2D16" w:rsidRPr="007F2D16" w:rsidRDefault="007F2D16" w:rsidP="007F2D16">
      <w:pPr>
        <w:spacing w:line="360" w:lineRule="auto"/>
        <w:jc w:val="both"/>
        <w:rPr>
          <w:rFonts w:ascii="NewsGotR" w:hAnsi="NewsGotR"/>
        </w:rPr>
      </w:pPr>
      <w:r w:rsidRPr="007F2D16">
        <w:rPr>
          <w:rFonts w:ascii="NewsGotR" w:hAnsi="NewsGotR"/>
        </w:rPr>
        <w:lastRenderedPageBreak/>
        <w:t>En este marco, el Tribunal analiza los artículos 2.1.a), 2.2.b), 4 y 10.2.a) de la Ley de Ordenación de la Edificación, relativos a las intervenciones sobre edificios existentes y a la titulación habilitante para la redacción de los proyectos.</w:t>
      </w:r>
    </w:p>
    <w:p w14:paraId="1A0ECC82" w14:textId="77777777" w:rsidR="007F2D16" w:rsidRPr="004A54E2" w:rsidRDefault="007F2D16" w:rsidP="004A54E2">
      <w:pPr>
        <w:spacing w:line="360" w:lineRule="auto"/>
        <w:jc w:val="both"/>
        <w:rPr>
          <w:rFonts w:ascii="NewsGotR" w:hAnsi="NewsGotR"/>
        </w:rPr>
      </w:pPr>
    </w:p>
    <w:p w14:paraId="469AB11E" w14:textId="77777777" w:rsidR="00EA7946" w:rsidRPr="00EA7946" w:rsidRDefault="00EA7946" w:rsidP="00EA7946">
      <w:pPr>
        <w:spacing w:line="360" w:lineRule="auto"/>
        <w:jc w:val="both"/>
        <w:rPr>
          <w:rFonts w:ascii="NewsGotR" w:hAnsi="NewsGotR"/>
        </w:rPr>
      </w:pPr>
      <w:r w:rsidRPr="00EA7946">
        <w:rPr>
          <w:rFonts w:ascii="NewsGotR" w:hAnsi="NewsGotR"/>
        </w:rPr>
        <w:t>La sentencia señala que los proyectos de obras referidos a intervenciones sobre edificios existentes que alteren la configuración arquitectónica o tengan por objeto cambiar los usos característicos de un edificio destinado a uso comercial a uso residencial afectan a la definición y determinación de las exigencias y condiciones técnicas de habitabilidad, seguridad y funcionalidad de la edificación.</w:t>
      </w:r>
    </w:p>
    <w:p w14:paraId="4654CBA0" w14:textId="77777777" w:rsidR="00EA7946" w:rsidRPr="00EA7946" w:rsidRDefault="00EA7946" w:rsidP="00EA7946">
      <w:pPr>
        <w:spacing w:line="360" w:lineRule="auto"/>
        <w:jc w:val="both"/>
        <w:rPr>
          <w:rFonts w:ascii="NewsGotR" w:hAnsi="NewsGotR"/>
        </w:rPr>
      </w:pPr>
      <w:r w:rsidRPr="00EA7946">
        <w:rPr>
          <w:rFonts w:ascii="NewsGotR" w:hAnsi="NewsGotR"/>
        </w:rPr>
        <w:t>Como respuesta a la cuestión de interés casacional planteada, el Tribunal Supremo fija la siguiente doctrina jurisprudencial:</w:t>
      </w:r>
    </w:p>
    <w:p w14:paraId="34A7B2CD" w14:textId="77777777" w:rsidR="00EA7946" w:rsidRPr="00EA7946" w:rsidRDefault="00EA7946" w:rsidP="00EA7946">
      <w:pPr>
        <w:pStyle w:val="Citadestacada"/>
      </w:pPr>
      <w:r w:rsidRPr="00EA7946">
        <w:t>El artículo 10.2.a) de la Ley de Ordenación de la Edificación, en relación con los artículos 2.1.a), 2.2.b) y 4 del mismo texto legal, debe interpretarse en el sentido de que los proyectos de obras referidos a intervenciones sobre edificios existentes cuando alteren la configuración arquitectónica o tengan por objeto cambiar los usos característicos de un edificio destinado a uso comercial a uso residencial deberán ser redactados por arquitecto, de conformidad con el principio de libertad de acceso con idoneidad y en congruencia con los principios de necesidad y proporcionalidad previstos en la legislación vigente.</w:t>
      </w:r>
    </w:p>
    <w:p w14:paraId="635706AA" w14:textId="66431402" w:rsidR="00154C17" w:rsidRPr="003005F1" w:rsidRDefault="00EA7946" w:rsidP="00EA7946">
      <w:pPr>
        <w:spacing w:line="360" w:lineRule="auto"/>
        <w:jc w:val="both"/>
        <w:rPr>
          <w:rFonts w:ascii="NewsGotR" w:hAnsi="NewsGotR"/>
        </w:rPr>
      </w:pPr>
      <w:r w:rsidRPr="00EA7946">
        <w:rPr>
          <w:rFonts w:ascii="NewsGotR" w:hAnsi="NewsGotR"/>
        </w:rPr>
        <w:t>La sentencia desestima el recurso de casación y confirma la resolución impugnada.</w:t>
      </w:r>
    </w:p>
    <w:sectPr w:rsidR="00154C17" w:rsidRPr="003005F1" w:rsidSect="00BF0B75">
      <w:headerReference w:type="default" r:id="rId7"/>
      <w:footerReference w:type="default" r:id="rId8"/>
      <w:pgSz w:w="11906" w:h="16838"/>
      <w:pgMar w:top="2268" w:right="1191" w:bottom="1701" w:left="1531" w:header="708" w:footer="1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0E4F9" w14:textId="77777777" w:rsidR="006E6B79" w:rsidRDefault="006E6B79" w:rsidP="00BF0B75">
      <w:r>
        <w:separator/>
      </w:r>
    </w:p>
  </w:endnote>
  <w:endnote w:type="continuationSeparator" w:id="0">
    <w:p w14:paraId="17892D76" w14:textId="77777777" w:rsidR="006E6B79" w:rsidRDefault="006E6B79" w:rsidP="00BF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R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6A8A" w14:textId="0888A92A" w:rsidR="00154C17" w:rsidRDefault="00154C17" w:rsidP="00154C17">
    <w:pPr>
      <w:pStyle w:val="Piedepgina"/>
      <w:jc w:val="center"/>
    </w:pPr>
    <w:r>
      <w:rPr>
        <w:rFonts w:ascii="NewsGotR" w:hAnsi="NewsGotR"/>
        <w:sz w:val="16"/>
        <w:lang w:val="es-ES_tradnl"/>
      </w:rPr>
      <w:t xml:space="preserve">- página </w:t>
    </w:r>
    <w:r>
      <w:rPr>
        <w:rStyle w:val="Nmerodepgina"/>
        <w:rFonts w:ascii="NewsGotR" w:hAnsi="NewsGotR"/>
        <w:sz w:val="16"/>
      </w:rPr>
      <w:fldChar w:fldCharType="begin"/>
    </w:r>
    <w:r>
      <w:rPr>
        <w:rStyle w:val="Nmerodepgina"/>
        <w:rFonts w:ascii="NewsGotR" w:hAnsi="NewsGotR"/>
        <w:sz w:val="16"/>
      </w:rPr>
      <w:instrText xml:space="preserve"> PAGE </w:instrText>
    </w:r>
    <w:r>
      <w:rPr>
        <w:rStyle w:val="Nmerodepgina"/>
        <w:rFonts w:ascii="NewsGotR" w:hAnsi="NewsGotR"/>
        <w:sz w:val="16"/>
      </w:rPr>
      <w:fldChar w:fldCharType="separate"/>
    </w:r>
    <w:r>
      <w:rPr>
        <w:rStyle w:val="Nmerodepgina"/>
        <w:rFonts w:ascii="NewsGotR" w:hAnsi="NewsGotR"/>
        <w:noProof/>
        <w:sz w:val="16"/>
      </w:rPr>
      <w:t>1</w:t>
    </w:r>
    <w:r>
      <w:rPr>
        <w:rStyle w:val="Nmerodepgina"/>
        <w:rFonts w:ascii="NewsGotR" w:hAnsi="NewsGotR"/>
        <w:sz w:val="16"/>
      </w:rPr>
      <w:fldChar w:fldCharType="end"/>
    </w:r>
    <w:r>
      <w:rPr>
        <w:rStyle w:val="Nmerodepgina"/>
        <w:rFonts w:ascii="NewsGotR" w:hAnsi="NewsGotR"/>
        <w:sz w:val="16"/>
      </w:rPr>
      <w:t xml:space="preserve"> de </w:t>
    </w:r>
    <w:r>
      <w:rPr>
        <w:rStyle w:val="Nmerodepgina"/>
        <w:rFonts w:ascii="NewsGotR" w:hAnsi="NewsGotR"/>
        <w:sz w:val="16"/>
      </w:rPr>
      <w:fldChar w:fldCharType="begin"/>
    </w:r>
    <w:r>
      <w:rPr>
        <w:rStyle w:val="Nmerodepgina"/>
        <w:rFonts w:ascii="NewsGotR" w:hAnsi="NewsGotR"/>
        <w:sz w:val="16"/>
      </w:rPr>
      <w:instrText xml:space="preserve"> NUMPAGES </w:instrText>
    </w:r>
    <w:r>
      <w:rPr>
        <w:rStyle w:val="Nmerodepgina"/>
        <w:rFonts w:ascii="NewsGotR" w:hAnsi="NewsGotR"/>
        <w:sz w:val="16"/>
      </w:rPr>
      <w:fldChar w:fldCharType="separate"/>
    </w:r>
    <w:r>
      <w:rPr>
        <w:rStyle w:val="Nmerodepgina"/>
        <w:rFonts w:ascii="NewsGotR" w:hAnsi="NewsGotR"/>
        <w:noProof/>
        <w:sz w:val="16"/>
      </w:rPr>
      <w:t>1</w:t>
    </w:r>
    <w:r>
      <w:rPr>
        <w:rStyle w:val="Nmerodepgina"/>
        <w:rFonts w:ascii="NewsGotR" w:hAnsi="NewsGotR"/>
        <w:sz w:val="16"/>
      </w:rPr>
      <w:fldChar w:fldCharType="end"/>
    </w:r>
    <w:r>
      <w:rPr>
        <w:rStyle w:val="Nmerodepgina"/>
        <w:rFonts w:ascii="NewsGotR" w:hAnsi="NewsGotR"/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18B4" w14:textId="77777777" w:rsidR="006E6B79" w:rsidRDefault="006E6B79" w:rsidP="00BF0B75">
      <w:r>
        <w:separator/>
      </w:r>
    </w:p>
  </w:footnote>
  <w:footnote w:type="continuationSeparator" w:id="0">
    <w:p w14:paraId="466AEF34" w14:textId="77777777" w:rsidR="006E6B79" w:rsidRDefault="006E6B79" w:rsidP="00BF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D94E" w14:textId="11007574" w:rsidR="00BF0B75" w:rsidRDefault="004144C8">
    <w:pPr>
      <w:pStyle w:val="Encabezado"/>
    </w:pPr>
    <w:r>
      <w:rPr>
        <w:noProof/>
      </w:rPr>
      <w:drawing>
        <wp:inline distT="0" distB="0" distL="0" distR="0" wp14:anchorId="59A6A9B9" wp14:editId="69C9FC17">
          <wp:extent cx="5380990" cy="628650"/>
          <wp:effectExtent l="0" t="0" r="0" b="0"/>
          <wp:docPr id="6134979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97975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09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31C"/>
    <w:multiLevelType w:val="multilevel"/>
    <w:tmpl w:val="25A2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55EE"/>
    <w:multiLevelType w:val="multilevel"/>
    <w:tmpl w:val="C492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B3A04"/>
    <w:multiLevelType w:val="multilevel"/>
    <w:tmpl w:val="B166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75E85"/>
    <w:multiLevelType w:val="multilevel"/>
    <w:tmpl w:val="97BA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E2EDF"/>
    <w:multiLevelType w:val="multilevel"/>
    <w:tmpl w:val="98AC7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E7B9F"/>
    <w:multiLevelType w:val="multilevel"/>
    <w:tmpl w:val="9382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35C02"/>
    <w:multiLevelType w:val="multilevel"/>
    <w:tmpl w:val="ECD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14FD7"/>
    <w:multiLevelType w:val="multilevel"/>
    <w:tmpl w:val="55FC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C553B"/>
    <w:multiLevelType w:val="multilevel"/>
    <w:tmpl w:val="1AD4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E0EF4"/>
    <w:multiLevelType w:val="multilevel"/>
    <w:tmpl w:val="99D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FB24FC"/>
    <w:multiLevelType w:val="multilevel"/>
    <w:tmpl w:val="0B5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E6CC9"/>
    <w:multiLevelType w:val="multilevel"/>
    <w:tmpl w:val="331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345C1"/>
    <w:multiLevelType w:val="multilevel"/>
    <w:tmpl w:val="7C50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357597"/>
    <w:multiLevelType w:val="multilevel"/>
    <w:tmpl w:val="CD6E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B540D"/>
    <w:multiLevelType w:val="multilevel"/>
    <w:tmpl w:val="A232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6E01E3"/>
    <w:multiLevelType w:val="multilevel"/>
    <w:tmpl w:val="402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B2B54"/>
    <w:multiLevelType w:val="multilevel"/>
    <w:tmpl w:val="F688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110906"/>
    <w:multiLevelType w:val="multilevel"/>
    <w:tmpl w:val="D57A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D7005C"/>
    <w:multiLevelType w:val="multilevel"/>
    <w:tmpl w:val="EEDC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F86875"/>
    <w:multiLevelType w:val="multilevel"/>
    <w:tmpl w:val="2922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540FC9"/>
    <w:multiLevelType w:val="multilevel"/>
    <w:tmpl w:val="F426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A80CD8"/>
    <w:multiLevelType w:val="multilevel"/>
    <w:tmpl w:val="E5AE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DC523C"/>
    <w:multiLevelType w:val="hybridMultilevel"/>
    <w:tmpl w:val="1A9AD3FA"/>
    <w:lvl w:ilvl="0" w:tplc="B7C0C814">
      <w:numFmt w:val="bullet"/>
      <w:lvlText w:val="-"/>
      <w:lvlJc w:val="left"/>
      <w:pPr>
        <w:ind w:left="720" w:hanging="360"/>
      </w:pPr>
      <w:rPr>
        <w:rFonts w:ascii="NewsGotR" w:eastAsia="Times New Roman" w:hAnsi="NewsGotR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1740B"/>
    <w:multiLevelType w:val="multilevel"/>
    <w:tmpl w:val="4CC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EE0069"/>
    <w:multiLevelType w:val="multilevel"/>
    <w:tmpl w:val="D496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F13688"/>
    <w:multiLevelType w:val="multilevel"/>
    <w:tmpl w:val="A020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0E0327"/>
    <w:multiLevelType w:val="multilevel"/>
    <w:tmpl w:val="2658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F5111A"/>
    <w:multiLevelType w:val="multilevel"/>
    <w:tmpl w:val="AB5A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1D2180"/>
    <w:multiLevelType w:val="multilevel"/>
    <w:tmpl w:val="B2CA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FE365B"/>
    <w:multiLevelType w:val="multilevel"/>
    <w:tmpl w:val="E35A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924708"/>
    <w:multiLevelType w:val="multilevel"/>
    <w:tmpl w:val="A7BA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F7D66"/>
    <w:multiLevelType w:val="multilevel"/>
    <w:tmpl w:val="00FE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25385C"/>
    <w:multiLevelType w:val="multilevel"/>
    <w:tmpl w:val="D380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89353F"/>
    <w:multiLevelType w:val="multilevel"/>
    <w:tmpl w:val="EE92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EA6546"/>
    <w:multiLevelType w:val="multilevel"/>
    <w:tmpl w:val="06C2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4C0D86"/>
    <w:multiLevelType w:val="multilevel"/>
    <w:tmpl w:val="FE60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1E37D4"/>
    <w:multiLevelType w:val="multilevel"/>
    <w:tmpl w:val="10C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1A6893"/>
    <w:multiLevelType w:val="multilevel"/>
    <w:tmpl w:val="5768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48712A"/>
    <w:multiLevelType w:val="multilevel"/>
    <w:tmpl w:val="48B2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A1E88"/>
    <w:multiLevelType w:val="multilevel"/>
    <w:tmpl w:val="DBBA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B4765B"/>
    <w:multiLevelType w:val="multilevel"/>
    <w:tmpl w:val="A71A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516A2E"/>
    <w:multiLevelType w:val="multilevel"/>
    <w:tmpl w:val="7882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A8289D"/>
    <w:multiLevelType w:val="multilevel"/>
    <w:tmpl w:val="89DC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676890">
    <w:abstractNumId w:val="35"/>
  </w:num>
  <w:num w:numId="2" w16cid:durableId="528227654">
    <w:abstractNumId w:val="12"/>
  </w:num>
  <w:num w:numId="3" w16cid:durableId="1450199956">
    <w:abstractNumId w:val="29"/>
  </w:num>
  <w:num w:numId="4" w16cid:durableId="854537329">
    <w:abstractNumId w:val="15"/>
  </w:num>
  <w:num w:numId="5" w16cid:durableId="1734352966">
    <w:abstractNumId w:val="6"/>
  </w:num>
  <w:num w:numId="6" w16cid:durableId="306012954">
    <w:abstractNumId w:val="33"/>
  </w:num>
  <w:num w:numId="7" w16cid:durableId="512501225">
    <w:abstractNumId w:val="19"/>
  </w:num>
  <w:num w:numId="8" w16cid:durableId="1969774558">
    <w:abstractNumId w:val="4"/>
  </w:num>
  <w:num w:numId="9" w16cid:durableId="832531710">
    <w:abstractNumId w:val="3"/>
  </w:num>
  <w:num w:numId="10" w16cid:durableId="1868172752">
    <w:abstractNumId w:val="17"/>
  </w:num>
  <w:num w:numId="11" w16cid:durableId="319886800">
    <w:abstractNumId w:val="11"/>
  </w:num>
  <w:num w:numId="12" w16cid:durableId="52042051">
    <w:abstractNumId w:val="41"/>
  </w:num>
  <w:num w:numId="13" w16cid:durableId="1531408732">
    <w:abstractNumId w:val="34"/>
  </w:num>
  <w:num w:numId="14" w16cid:durableId="800998111">
    <w:abstractNumId w:val="26"/>
  </w:num>
  <w:num w:numId="15" w16cid:durableId="1769931790">
    <w:abstractNumId w:val="25"/>
  </w:num>
  <w:num w:numId="16" w16cid:durableId="329020664">
    <w:abstractNumId w:val="24"/>
  </w:num>
  <w:num w:numId="17" w16cid:durableId="1401369642">
    <w:abstractNumId w:val="20"/>
  </w:num>
  <w:num w:numId="18" w16cid:durableId="495532096">
    <w:abstractNumId w:val="37"/>
  </w:num>
  <w:num w:numId="19" w16cid:durableId="1123427650">
    <w:abstractNumId w:val="27"/>
  </w:num>
  <w:num w:numId="20" w16cid:durableId="556090895">
    <w:abstractNumId w:val="5"/>
  </w:num>
  <w:num w:numId="21" w16cid:durableId="512693850">
    <w:abstractNumId w:val="39"/>
  </w:num>
  <w:num w:numId="22" w16cid:durableId="51738605">
    <w:abstractNumId w:val="18"/>
  </w:num>
  <w:num w:numId="23" w16cid:durableId="627004445">
    <w:abstractNumId w:val="1"/>
  </w:num>
  <w:num w:numId="24" w16cid:durableId="999891913">
    <w:abstractNumId w:val="8"/>
  </w:num>
  <w:num w:numId="25" w16cid:durableId="1980376338">
    <w:abstractNumId w:val="7"/>
  </w:num>
  <w:num w:numId="26" w16cid:durableId="1072390160">
    <w:abstractNumId w:val="13"/>
  </w:num>
  <w:num w:numId="27" w16cid:durableId="1122116034">
    <w:abstractNumId w:val="9"/>
  </w:num>
  <w:num w:numId="28" w16cid:durableId="1782996986">
    <w:abstractNumId w:val="30"/>
  </w:num>
  <w:num w:numId="29" w16cid:durableId="2081706022">
    <w:abstractNumId w:val="32"/>
  </w:num>
  <w:num w:numId="30" w16cid:durableId="1611350989">
    <w:abstractNumId w:val="2"/>
  </w:num>
  <w:num w:numId="31" w16cid:durableId="20907055">
    <w:abstractNumId w:val="38"/>
  </w:num>
  <w:num w:numId="32" w16cid:durableId="558827180">
    <w:abstractNumId w:val="16"/>
  </w:num>
  <w:num w:numId="33" w16cid:durableId="1437284958">
    <w:abstractNumId w:val="22"/>
  </w:num>
  <w:num w:numId="34" w16cid:durableId="2128156193">
    <w:abstractNumId w:val="21"/>
  </w:num>
  <w:num w:numId="35" w16cid:durableId="228349667">
    <w:abstractNumId w:val="23"/>
  </w:num>
  <w:num w:numId="36" w16cid:durableId="931426910">
    <w:abstractNumId w:val="10"/>
  </w:num>
  <w:num w:numId="37" w16cid:durableId="780875478">
    <w:abstractNumId w:val="31"/>
  </w:num>
  <w:num w:numId="38" w16cid:durableId="1722558069">
    <w:abstractNumId w:val="42"/>
  </w:num>
  <w:num w:numId="39" w16cid:durableId="34501777">
    <w:abstractNumId w:val="14"/>
  </w:num>
  <w:num w:numId="40" w16cid:durableId="1956447487">
    <w:abstractNumId w:val="28"/>
  </w:num>
  <w:num w:numId="41" w16cid:durableId="2032602806">
    <w:abstractNumId w:val="40"/>
  </w:num>
  <w:num w:numId="42" w16cid:durableId="2105222718">
    <w:abstractNumId w:val="0"/>
  </w:num>
  <w:num w:numId="43" w16cid:durableId="103824155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54"/>
    <w:rsid w:val="000005FB"/>
    <w:rsid w:val="00007D42"/>
    <w:rsid w:val="000248C5"/>
    <w:rsid w:val="000304FC"/>
    <w:rsid w:val="00036F2F"/>
    <w:rsid w:val="00047978"/>
    <w:rsid w:val="000B1F7E"/>
    <w:rsid w:val="000C3AF1"/>
    <w:rsid w:val="000C6E5F"/>
    <w:rsid w:val="0010052E"/>
    <w:rsid w:val="0014030C"/>
    <w:rsid w:val="00154C17"/>
    <w:rsid w:val="001733AF"/>
    <w:rsid w:val="0017362E"/>
    <w:rsid w:val="0017616F"/>
    <w:rsid w:val="00176CDA"/>
    <w:rsid w:val="001973DE"/>
    <w:rsid w:val="001D6EBC"/>
    <w:rsid w:val="002416F7"/>
    <w:rsid w:val="002A6D05"/>
    <w:rsid w:val="002E5FA0"/>
    <w:rsid w:val="003005F1"/>
    <w:rsid w:val="00307E49"/>
    <w:rsid w:val="0031041A"/>
    <w:rsid w:val="00341162"/>
    <w:rsid w:val="003532F7"/>
    <w:rsid w:val="003852D5"/>
    <w:rsid w:val="00396B88"/>
    <w:rsid w:val="003E6201"/>
    <w:rsid w:val="004144C8"/>
    <w:rsid w:val="00423D35"/>
    <w:rsid w:val="004A54E2"/>
    <w:rsid w:val="004D0F5F"/>
    <w:rsid w:val="004F6625"/>
    <w:rsid w:val="00581DDB"/>
    <w:rsid w:val="00593BD3"/>
    <w:rsid w:val="005B5210"/>
    <w:rsid w:val="005C102C"/>
    <w:rsid w:val="005C1E54"/>
    <w:rsid w:val="005C7BF5"/>
    <w:rsid w:val="005C7F6D"/>
    <w:rsid w:val="005E5F7D"/>
    <w:rsid w:val="005F3358"/>
    <w:rsid w:val="00610C2F"/>
    <w:rsid w:val="00656CDF"/>
    <w:rsid w:val="006677C2"/>
    <w:rsid w:val="00677E0B"/>
    <w:rsid w:val="006A2A6C"/>
    <w:rsid w:val="006B4B71"/>
    <w:rsid w:val="006B4DAE"/>
    <w:rsid w:val="006D249B"/>
    <w:rsid w:val="006E6B79"/>
    <w:rsid w:val="0072105F"/>
    <w:rsid w:val="007D3BC3"/>
    <w:rsid w:val="007E53D8"/>
    <w:rsid w:val="007E6518"/>
    <w:rsid w:val="007F2D16"/>
    <w:rsid w:val="007F3DDA"/>
    <w:rsid w:val="008459A8"/>
    <w:rsid w:val="009674AF"/>
    <w:rsid w:val="009A116C"/>
    <w:rsid w:val="009F2BF4"/>
    <w:rsid w:val="00A03156"/>
    <w:rsid w:val="00A14342"/>
    <w:rsid w:val="00A31023"/>
    <w:rsid w:val="00A825A4"/>
    <w:rsid w:val="00A8748F"/>
    <w:rsid w:val="00A94711"/>
    <w:rsid w:val="00AC608E"/>
    <w:rsid w:val="00AD3035"/>
    <w:rsid w:val="00AE62A9"/>
    <w:rsid w:val="00AF62CC"/>
    <w:rsid w:val="00B27C14"/>
    <w:rsid w:val="00B535C7"/>
    <w:rsid w:val="00B550C3"/>
    <w:rsid w:val="00B95914"/>
    <w:rsid w:val="00BB3B81"/>
    <w:rsid w:val="00BC34D0"/>
    <w:rsid w:val="00BC4AB1"/>
    <w:rsid w:val="00BE7813"/>
    <w:rsid w:val="00BF0B75"/>
    <w:rsid w:val="00C03AC9"/>
    <w:rsid w:val="00C16656"/>
    <w:rsid w:val="00C95735"/>
    <w:rsid w:val="00CB0460"/>
    <w:rsid w:val="00D10BD0"/>
    <w:rsid w:val="00D20D91"/>
    <w:rsid w:val="00D47905"/>
    <w:rsid w:val="00DA6370"/>
    <w:rsid w:val="00DD41B9"/>
    <w:rsid w:val="00E977F0"/>
    <w:rsid w:val="00EA7946"/>
    <w:rsid w:val="00EB79FA"/>
    <w:rsid w:val="00EF036F"/>
    <w:rsid w:val="00EF1F9D"/>
    <w:rsid w:val="00F00F98"/>
    <w:rsid w:val="00F232E2"/>
    <w:rsid w:val="00F4591A"/>
    <w:rsid w:val="00FB4228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9498F"/>
  <w15:chartTrackingRefBased/>
  <w15:docId w15:val="{040B6C60-43B7-418A-AF27-17C5FE13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5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C1E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1E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1E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1E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1E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1E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1E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1E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1E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1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1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1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1E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1E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1E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1E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1E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1E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1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C1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1E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C1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1E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C1E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1E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C1E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1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1E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1E5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F0B7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BF0B75"/>
  </w:style>
  <w:style w:type="paragraph" w:styleId="Piedepgina">
    <w:name w:val="footer"/>
    <w:basedOn w:val="Normal"/>
    <w:link w:val="PiedepginaCar"/>
    <w:uiPriority w:val="99"/>
    <w:unhideWhenUsed/>
    <w:rsid w:val="00BF0B7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F0B75"/>
  </w:style>
  <w:style w:type="character" w:styleId="Nmerodepgina">
    <w:name w:val="page number"/>
    <w:rsid w:val="00154C17"/>
  </w:style>
  <w:style w:type="paragraph" w:styleId="NormalWeb">
    <w:name w:val="Normal (Web)"/>
    <w:basedOn w:val="Normal"/>
    <w:semiHidden/>
    <w:unhideWhenUsed/>
    <w:rsid w:val="007E65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Asesoría Jurídica CACOA</dc:creator>
  <cp:keywords/>
  <dc:description/>
  <cp:lastModifiedBy>MIGUEL FERNANDEZ GAZQUEZ</cp:lastModifiedBy>
  <cp:revision>2</cp:revision>
  <dcterms:created xsi:type="dcterms:W3CDTF">2026-07-09T08:07:00Z</dcterms:created>
  <dcterms:modified xsi:type="dcterms:W3CDTF">2026-07-09T08:07:00Z</dcterms:modified>
</cp:coreProperties>
</file>