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66BC0" w14:textId="1264687E" w:rsidR="00F304C4" w:rsidRDefault="00280F07" w:rsidP="008D7A80">
      <w:pPr>
        <w:ind w:left="1416" w:firstLine="708"/>
        <w:rPr>
          <w:b/>
          <w:color w:val="A6A6A6" w:themeColor="background1" w:themeShade="A6"/>
          <w:sz w:val="32"/>
          <w:szCs w:val="32"/>
        </w:rPr>
      </w:pPr>
      <w:r>
        <w:rPr>
          <w:b/>
          <w:color w:val="A6A6A6" w:themeColor="background1" w:themeShade="A6"/>
          <w:sz w:val="32"/>
          <w:szCs w:val="32"/>
        </w:rPr>
        <w:t xml:space="preserve">    </w:t>
      </w:r>
      <w:r w:rsidR="001D5B75">
        <w:rPr>
          <w:b/>
          <w:color w:val="A6A6A6" w:themeColor="background1" w:themeShade="A6"/>
          <w:sz w:val="32"/>
          <w:szCs w:val="32"/>
        </w:rPr>
        <w:t>COMUNICADO DE PRENSA</w:t>
      </w:r>
    </w:p>
    <w:p w14:paraId="2BC228E6" w14:textId="77777777" w:rsidR="00F304C4" w:rsidRPr="000B50A6" w:rsidRDefault="00F304C4" w:rsidP="00BB7812">
      <w:pPr>
        <w:rPr>
          <w:b/>
          <w:color w:val="009999"/>
          <w:sz w:val="46"/>
          <w:szCs w:val="46"/>
        </w:rPr>
      </w:pPr>
    </w:p>
    <w:p w14:paraId="52A7B953" w14:textId="12A84887" w:rsidR="00F304C4" w:rsidRPr="000B50A6" w:rsidRDefault="00490F1D">
      <w:pPr>
        <w:jc w:val="center"/>
        <w:rPr>
          <w:b/>
          <w:color w:val="009999"/>
          <w:sz w:val="46"/>
          <w:szCs w:val="46"/>
        </w:rPr>
      </w:pPr>
      <w:r w:rsidRPr="000B50A6">
        <w:rPr>
          <w:b/>
          <w:color w:val="009999"/>
          <w:sz w:val="46"/>
          <w:szCs w:val="46"/>
        </w:rPr>
        <w:t>Arquitectos, arquitectos técnicos y constructores impulsan el</w:t>
      </w:r>
      <w:r w:rsidR="008D7A80">
        <w:rPr>
          <w:b/>
          <w:color w:val="009999"/>
          <w:sz w:val="46"/>
          <w:szCs w:val="46"/>
        </w:rPr>
        <w:t xml:space="preserve"> nuevo</w:t>
      </w:r>
      <w:r w:rsidRPr="000B50A6">
        <w:rPr>
          <w:b/>
          <w:color w:val="009999"/>
          <w:sz w:val="46"/>
          <w:szCs w:val="46"/>
        </w:rPr>
        <w:t xml:space="preserve"> Banco de Costes de la </w:t>
      </w:r>
      <w:r w:rsidR="000A700D">
        <w:rPr>
          <w:b/>
          <w:color w:val="009999"/>
          <w:sz w:val="46"/>
          <w:szCs w:val="46"/>
        </w:rPr>
        <w:t>c</w:t>
      </w:r>
      <w:r w:rsidRPr="000B50A6">
        <w:rPr>
          <w:b/>
          <w:color w:val="009999"/>
          <w:sz w:val="46"/>
          <w:szCs w:val="46"/>
        </w:rPr>
        <w:t>onstrucción de Andalucía</w:t>
      </w:r>
    </w:p>
    <w:p w14:paraId="077D80B8" w14:textId="77777777" w:rsidR="00F304C4" w:rsidRDefault="00F304C4">
      <w:pPr>
        <w:jc w:val="both"/>
        <w:rPr>
          <w:b/>
          <w:sz w:val="26"/>
          <w:szCs w:val="26"/>
        </w:rPr>
      </w:pPr>
    </w:p>
    <w:p w14:paraId="74BFC4F8" w14:textId="77777777" w:rsidR="00F304C4" w:rsidRDefault="00F304C4">
      <w:pPr>
        <w:jc w:val="both"/>
        <w:rPr>
          <w:bCs/>
          <w:i/>
          <w:iCs/>
          <w:sz w:val="26"/>
          <w:szCs w:val="26"/>
        </w:rPr>
      </w:pPr>
    </w:p>
    <w:p w14:paraId="7BF44BC9" w14:textId="614A06B0" w:rsidR="00F304C4" w:rsidRDefault="00DA1E87">
      <w:pPr>
        <w:numPr>
          <w:ilvl w:val="0"/>
          <w:numId w:val="1"/>
        </w:numPr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Los consejos andaluces de arquitectos y arquitectos técnicos suscriben con </w:t>
      </w:r>
      <w:r w:rsidRPr="00DA1E87">
        <w:rPr>
          <w:b/>
          <w:bCs/>
          <w:i/>
          <w:iCs/>
          <w:sz w:val="26"/>
          <w:szCs w:val="26"/>
        </w:rPr>
        <w:t>F</w:t>
      </w:r>
      <w:r w:rsidR="00544206">
        <w:rPr>
          <w:b/>
          <w:bCs/>
          <w:i/>
          <w:iCs/>
          <w:sz w:val="26"/>
          <w:szCs w:val="26"/>
        </w:rPr>
        <w:t>ADECO</w:t>
      </w:r>
      <w:r w:rsidRPr="00DA1E87">
        <w:rPr>
          <w:b/>
          <w:bCs/>
          <w:i/>
          <w:iCs/>
          <w:sz w:val="26"/>
          <w:szCs w:val="26"/>
        </w:rPr>
        <w:t xml:space="preserve"> Contratistas un convenio </w:t>
      </w:r>
      <w:r w:rsidR="00544206">
        <w:rPr>
          <w:b/>
          <w:bCs/>
          <w:i/>
          <w:iCs/>
          <w:sz w:val="26"/>
          <w:szCs w:val="26"/>
        </w:rPr>
        <w:t>“</w:t>
      </w:r>
      <w:r w:rsidRPr="00DA1E87">
        <w:rPr>
          <w:b/>
          <w:bCs/>
          <w:i/>
          <w:iCs/>
          <w:sz w:val="26"/>
          <w:szCs w:val="26"/>
        </w:rPr>
        <w:t>histórico</w:t>
      </w:r>
      <w:r w:rsidR="00544206">
        <w:rPr>
          <w:b/>
          <w:bCs/>
          <w:i/>
          <w:iCs/>
          <w:sz w:val="26"/>
          <w:szCs w:val="26"/>
        </w:rPr>
        <w:t>”</w:t>
      </w:r>
      <w:r w:rsidRPr="00DA1E87">
        <w:rPr>
          <w:b/>
          <w:bCs/>
          <w:i/>
          <w:iCs/>
          <w:sz w:val="26"/>
          <w:szCs w:val="26"/>
        </w:rPr>
        <w:t xml:space="preserve"> para desarrollar una herramienta común </w:t>
      </w:r>
      <w:r w:rsidR="008F5B4A" w:rsidRPr="008F5B4A">
        <w:rPr>
          <w:b/>
          <w:bCs/>
          <w:i/>
          <w:iCs/>
          <w:sz w:val="26"/>
          <w:szCs w:val="26"/>
        </w:rPr>
        <w:t>basada en costes reales de las ocho provincias</w:t>
      </w:r>
    </w:p>
    <w:p w14:paraId="660C5B39" w14:textId="77777777" w:rsidR="00F304C4" w:rsidRDefault="00F304C4">
      <w:pPr>
        <w:ind w:left="360"/>
        <w:jc w:val="both"/>
        <w:rPr>
          <w:b/>
          <w:bCs/>
          <w:i/>
          <w:iCs/>
          <w:sz w:val="26"/>
          <w:szCs w:val="26"/>
        </w:rPr>
      </w:pPr>
    </w:p>
    <w:p w14:paraId="031487A2" w14:textId="54D19371" w:rsidR="00F304C4" w:rsidRDefault="00CF2D98">
      <w:pPr>
        <w:numPr>
          <w:ilvl w:val="0"/>
          <w:numId w:val="1"/>
        </w:numPr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La presidenta del </w:t>
      </w:r>
      <w:r w:rsidR="001D5B75">
        <w:rPr>
          <w:b/>
          <w:bCs/>
          <w:i/>
          <w:iCs/>
          <w:sz w:val="26"/>
          <w:szCs w:val="26"/>
        </w:rPr>
        <w:t>CACOA</w:t>
      </w:r>
      <w:r>
        <w:rPr>
          <w:b/>
          <w:bCs/>
          <w:i/>
          <w:iCs/>
          <w:sz w:val="26"/>
          <w:szCs w:val="26"/>
        </w:rPr>
        <w:t xml:space="preserve">, </w:t>
      </w:r>
      <w:r w:rsidRPr="00CF2D98">
        <w:rPr>
          <w:b/>
          <w:bCs/>
          <w:i/>
          <w:iCs/>
          <w:sz w:val="26"/>
          <w:szCs w:val="26"/>
        </w:rPr>
        <w:t>Isabel Suraña</w:t>
      </w:r>
      <w:r>
        <w:rPr>
          <w:b/>
          <w:bCs/>
          <w:i/>
          <w:iCs/>
          <w:sz w:val="26"/>
          <w:szCs w:val="26"/>
        </w:rPr>
        <w:t>,</w:t>
      </w:r>
      <w:r w:rsidRPr="00CF2D98">
        <w:rPr>
          <w:b/>
          <w:bCs/>
          <w:i/>
          <w:iCs/>
          <w:sz w:val="26"/>
          <w:szCs w:val="26"/>
        </w:rPr>
        <w:t xml:space="preserve"> destaca que la iniciativa permitirá reforzar la calidad arquitectónica y ofrecer una voz conjunta ante los grandes retos de la vivienda, el urbanismo y la construcción en Andalucía</w:t>
      </w:r>
      <w:r w:rsidR="001D5B75">
        <w:rPr>
          <w:b/>
          <w:bCs/>
          <w:i/>
          <w:iCs/>
          <w:sz w:val="26"/>
          <w:szCs w:val="26"/>
        </w:rPr>
        <w:t xml:space="preserve"> </w:t>
      </w:r>
    </w:p>
    <w:p w14:paraId="2020EAAE" w14:textId="77777777" w:rsidR="00F304C4" w:rsidRDefault="00F304C4">
      <w:pPr>
        <w:jc w:val="both"/>
        <w:rPr>
          <w:b/>
          <w:bCs/>
          <w:i/>
          <w:iCs/>
          <w:sz w:val="26"/>
          <w:szCs w:val="26"/>
        </w:rPr>
      </w:pPr>
    </w:p>
    <w:p w14:paraId="148C1438" w14:textId="0A054D09" w:rsidR="00C06452" w:rsidRPr="00FF0D56" w:rsidRDefault="001D5B75" w:rsidP="00EA2AAE">
      <w:pPr>
        <w:spacing w:before="100" w:beforeAutospacing="1" w:after="100" w:afterAutospacing="1"/>
        <w:jc w:val="both"/>
        <w:rPr>
          <w:rFonts w:eastAsia="Times New Roman" w:cstheme="minorHAnsi"/>
          <w:lang w:eastAsia="es-ES"/>
        </w:rPr>
      </w:pPr>
      <w:r>
        <w:rPr>
          <w:b/>
          <w:bCs/>
          <w:i/>
          <w:iCs/>
        </w:rPr>
        <w:t xml:space="preserve">Andalucía, </w:t>
      </w:r>
      <w:r w:rsidR="00632A7E">
        <w:rPr>
          <w:b/>
          <w:bCs/>
          <w:i/>
          <w:iCs/>
        </w:rPr>
        <w:t>5</w:t>
      </w:r>
      <w:r>
        <w:rPr>
          <w:b/>
          <w:bCs/>
          <w:i/>
          <w:iCs/>
        </w:rPr>
        <w:t xml:space="preserve"> de</w:t>
      </w:r>
      <w:r w:rsidR="00875FFA">
        <w:rPr>
          <w:b/>
          <w:bCs/>
          <w:i/>
          <w:iCs/>
        </w:rPr>
        <w:t xml:space="preserve"> junio </w:t>
      </w:r>
      <w:r>
        <w:rPr>
          <w:b/>
          <w:bCs/>
          <w:i/>
          <w:iCs/>
        </w:rPr>
        <w:t>de 2026.</w:t>
      </w:r>
      <w:r w:rsidR="00C06452">
        <w:rPr>
          <w:rFonts w:eastAsia="Times New Roman" w:cstheme="minorHAnsi"/>
          <w:lang w:eastAsia="es-ES"/>
        </w:rPr>
        <w:t xml:space="preserve"> </w:t>
      </w:r>
      <w:r w:rsidR="00C06452" w:rsidRPr="00FF0D56">
        <w:rPr>
          <w:rFonts w:eastAsia="Times New Roman" w:cstheme="minorHAnsi"/>
          <w:lang w:eastAsia="es-ES"/>
        </w:rPr>
        <w:t>El Consejo Andaluz de Colegios Oficiales de Arquitectos (</w:t>
      </w:r>
      <w:r w:rsidR="00C06452" w:rsidRPr="003B5A60">
        <w:rPr>
          <w:rFonts w:eastAsia="Times New Roman" w:cstheme="minorHAnsi"/>
          <w:b/>
          <w:bCs/>
          <w:lang w:eastAsia="es-ES"/>
        </w:rPr>
        <w:t>CACOA</w:t>
      </w:r>
      <w:r w:rsidR="00C06452" w:rsidRPr="00FF0D56">
        <w:rPr>
          <w:rFonts w:eastAsia="Times New Roman" w:cstheme="minorHAnsi"/>
          <w:lang w:eastAsia="es-ES"/>
        </w:rPr>
        <w:t>), el Consejo Andaluz de Colegios Oficiales de Aparejadores y Arquitectos Técnicos (</w:t>
      </w:r>
      <w:r w:rsidR="00C06452" w:rsidRPr="003B5A60">
        <w:rPr>
          <w:rFonts w:eastAsia="Times New Roman" w:cstheme="minorHAnsi"/>
          <w:b/>
          <w:bCs/>
          <w:lang w:eastAsia="es-ES"/>
        </w:rPr>
        <w:t>CACOAT</w:t>
      </w:r>
      <w:r w:rsidR="00C06452" w:rsidRPr="00FF0D56">
        <w:rPr>
          <w:rFonts w:eastAsia="Times New Roman" w:cstheme="minorHAnsi"/>
          <w:lang w:eastAsia="es-ES"/>
        </w:rPr>
        <w:t xml:space="preserve">) y </w:t>
      </w:r>
      <w:r w:rsidR="005F75AD">
        <w:rPr>
          <w:rFonts w:eastAsia="Times New Roman" w:cstheme="minorHAnsi"/>
          <w:lang w:eastAsia="es-ES"/>
        </w:rPr>
        <w:t xml:space="preserve">la Federación Andaluza de Empresarios de Construcción, </w:t>
      </w:r>
      <w:r w:rsidR="00C06452" w:rsidRPr="003B5A60">
        <w:rPr>
          <w:rFonts w:eastAsia="Times New Roman" w:cstheme="minorHAnsi"/>
          <w:b/>
          <w:bCs/>
          <w:lang w:eastAsia="es-ES"/>
        </w:rPr>
        <w:t>FADECO Contratistas</w:t>
      </w:r>
      <w:r w:rsidR="005F75AD">
        <w:rPr>
          <w:rFonts w:eastAsia="Times New Roman" w:cstheme="minorHAnsi"/>
          <w:lang w:eastAsia="es-ES"/>
        </w:rPr>
        <w:t>,</w:t>
      </w:r>
      <w:r w:rsidR="00C06452" w:rsidRPr="00FF0D56">
        <w:rPr>
          <w:rFonts w:eastAsia="Times New Roman" w:cstheme="minorHAnsi"/>
          <w:lang w:eastAsia="es-ES"/>
        </w:rPr>
        <w:t xml:space="preserve"> han</w:t>
      </w:r>
      <w:r w:rsidR="00C06452">
        <w:rPr>
          <w:rFonts w:eastAsia="Times New Roman" w:cstheme="minorHAnsi"/>
          <w:lang w:eastAsia="es-ES"/>
        </w:rPr>
        <w:t xml:space="preserve"> suscrito</w:t>
      </w:r>
      <w:r w:rsidR="00C06452" w:rsidRPr="00FF0D56">
        <w:rPr>
          <w:rFonts w:eastAsia="Times New Roman" w:cstheme="minorHAnsi"/>
          <w:lang w:eastAsia="es-ES"/>
        </w:rPr>
        <w:t xml:space="preserve"> </w:t>
      </w:r>
      <w:r w:rsidR="00C06452">
        <w:rPr>
          <w:rFonts w:eastAsia="Times New Roman" w:cstheme="minorHAnsi"/>
          <w:lang w:eastAsia="es-ES"/>
        </w:rPr>
        <w:t>el</w:t>
      </w:r>
      <w:r w:rsidR="00C06452" w:rsidRPr="00FF0D56">
        <w:rPr>
          <w:rFonts w:eastAsia="Times New Roman" w:cstheme="minorHAnsi"/>
          <w:lang w:eastAsia="es-ES"/>
        </w:rPr>
        <w:t xml:space="preserve"> convenio de colaboración que permitirá desarrollar y consolidar el</w:t>
      </w:r>
      <w:r w:rsidR="0076112E">
        <w:rPr>
          <w:rFonts w:eastAsia="Times New Roman" w:cstheme="minorHAnsi"/>
          <w:lang w:eastAsia="es-ES"/>
        </w:rPr>
        <w:t xml:space="preserve"> nuevo</w:t>
      </w:r>
      <w:r w:rsidR="00C06452" w:rsidRPr="00FF0D56">
        <w:rPr>
          <w:rFonts w:eastAsia="Times New Roman" w:cstheme="minorHAnsi"/>
          <w:lang w:eastAsia="es-ES"/>
        </w:rPr>
        <w:t xml:space="preserve"> Banco de Costes de la Construcción de Andalucía</w:t>
      </w:r>
      <w:r w:rsidR="00C06452">
        <w:rPr>
          <w:rFonts w:eastAsia="Times New Roman" w:cstheme="minorHAnsi"/>
          <w:lang w:eastAsia="es-ES"/>
        </w:rPr>
        <w:t>,</w:t>
      </w:r>
      <w:r w:rsidR="00C06452" w:rsidRPr="00FF0D56">
        <w:rPr>
          <w:rFonts w:eastAsia="Times New Roman" w:cstheme="minorHAnsi"/>
          <w:lang w:eastAsia="es-ES"/>
        </w:rPr>
        <w:t xml:space="preserve"> elaborado de forma conjunta por los principales agentes profesionales y empresariales del sector</w:t>
      </w:r>
      <w:r w:rsidR="00554F29">
        <w:rPr>
          <w:rFonts w:eastAsia="Times New Roman" w:cstheme="minorHAnsi"/>
          <w:lang w:eastAsia="es-ES"/>
        </w:rPr>
        <w:t>.</w:t>
      </w:r>
    </w:p>
    <w:p w14:paraId="5CF0669C" w14:textId="77BF9C39" w:rsidR="00C06452" w:rsidRPr="00FF0D56" w:rsidRDefault="00C06452" w:rsidP="00EA2AAE">
      <w:pPr>
        <w:spacing w:before="100" w:beforeAutospacing="1" w:after="100" w:afterAutospacing="1"/>
        <w:jc w:val="both"/>
        <w:rPr>
          <w:rFonts w:eastAsia="Times New Roman" w:cstheme="minorHAnsi"/>
          <w:lang w:eastAsia="es-ES"/>
        </w:rPr>
      </w:pPr>
      <w:r w:rsidRPr="00FF0D56">
        <w:rPr>
          <w:rFonts w:eastAsia="Times New Roman" w:cstheme="minorHAnsi"/>
          <w:lang w:eastAsia="es-ES"/>
        </w:rPr>
        <w:t>El acuerdo supone un hito de colaboración institucional en Andalucía y nace con el objetivo de dotar al sector de una herramienta técnica actualizada, rigurosa y adaptada a la realidad económica de la comunidad autónoma, contribuyendo a mejorar la planificación económica de proyectos, licitaciones y obras tanto públicas como privadas.</w:t>
      </w:r>
    </w:p>
    <w:p w14:paraId="071722BE" w14:textId="7F8135F9" w:rsidR="00D1543B" w:rsidRDefault="00D1543B" w:rsidP="00EA2AAE">
      <w:pPr>
        <w:spacing w:before="100" w:beforeAutospacing="1" w:after="100" w:afterAutospacing="1"/>
        <w:jc w:val="both"/>
        <w:rPr>
          <w:rFonts w:eastAsia="Times New Roman" w:cstheme="minorHAnsi"/>
          <w:lang w:eastAsia="es-ES"/>
        </w:rPr>
      </w:pPr>
      <w:r>
        <w:t>El nuevo Banco de Costes incorporará referencias específicas para las ocho provincias andaluzas, elaboradas a partir de los convenios colectivos vigentes y de los precios reales de materiales, productos, equipos y maquinaria utilizados en la comunidad autónoma. Asimismo, estará disponible tanto en formato BC3 como mediante una aplicación web específica que permitirá consultar, descargar y actualizar partidas de manera ágil y accesible para los profesionales del sector.</w:t>
      </w:r>
    </w:p>
    <w:p w14:paraId="0D9D4657" w14:textId="355132D0" w:rsidR="00C06452" w:rsidRPr="00FF0D56" w:rsidRDefault="00C06452" w:rsidP="00EA2AAE">
      <w:pPr>
        <w:spacing w:before="100" w:beforeAutospacing="1" w:after="100" w:afterAutospacing="1"/>
        <w:jc w:val="both"/>
        <w:rPr>
          <w:rFonts w:eastAsia="Times New Roman" w:cstheme="minorHAnsi"/>
          <w:lang w:eastAsia="es-ES"/>
        </w:rPr>
      </w:pPr>
      <w:r w:rsidRPr="00FF0D56">
        <w:rPr>
          <w:rFonts w:eastAsia="Times New Roman" w:cstheme="minorHAnsi"/>
          <w:lang w:eastAsia="es-ES"/>
        </w:rPr>
        <w:t xml:space="preserve">La presidenta del CACOA, </w:t>
      </w:r>
      <w:r w:rsidRPr="00F7007A">
        <w:rPr>
          <w:rFonts w:eastAsia="Times New Roman" w:cstheme="minorHAnsi"/>
          <w:b/>
          <w:bCs/>
          <w:lang w:eastAsia="es-ES"/>
        </w:rPr>
        <w:t>Isabel Suraña</w:t>
      </w:r>
      <w:r w:rsidR="000B4106">
        <w:rPr>
          <w:rFonts w:eastAsia="Times New Roman" w:cstheme="minorHAnsi"/>
          <w:b/>
          <w:bCs/>
          <w:lang w:eastAsia="es-ES"/>
        </w:rPr>
        <w:t xml:space="preserve"> Fernández</w:t>
      </w:r>
      <w:r w:rsidRPr="00FF0D56">
        <w:rPr>
          <w:rFonts w:eastAsia="Times New Roman" w:cstheme="minorHAnsi"/>
          <w:lang w:eastAsia="es-ES"/>
        </w:rPr>
        <w:t xml:space="preserve">, ha subrayado </w:t>
      </w:r>
      <w:r w:rsidR="00AC68A6">
        <w:rPr>
          <w:rFonts w:eastAsia="Times New Roman" w:cstheme="minorHAnsi"/>
          <w:lang w:eastAsia="es-ES"/>
        </w:rPr>
        <w:t>la importancia de este paso pues “</w:t>
      </w:r>
      <w:r w:rsidRPr="00FF0D56">
        <w:rPr>
          <w:rFonts w:eastAsia="Times New Roman" w:cstheme="minorHAnsi"/>
          <w:lang w:eastAsia="es-ES"/>
        </w:rPr>
        <w:t>hasta ahora las tres instituciones no habían trabajado colaborativamente de la mano y hemos conseguido que constructores, arquitectos técnicos y arquitectos empecemos a trabajar juntos en un tema tan importante como una base de datos que quiere convertirse en el fondo documental y económico de referencia para Andalucía”.</w:t>
      </w:r>
    </w:p>
    <w:p w14:paraId="65A03F03" w14:textId="63493064" w:rsidR="00C06452" w:rsidRPr="00FF0D56" w:rsidRDefault="00C06452" w:rsidP="00EA2AAE">
      <w:pPr>
        <w:spacing w:before="100" w:beforeAutospacing="1" w:after="100" w:afterAutospacing="1"/>
        <w:jc w:val="both"/>
        <w:rPr>
          <w:rFonts w:eastAsia="Times New Roman" w:cstheme="minorHAnsi"/>
          <w:lang w:eastAsia="es-ES"/>
        </w:rPr>
      </w:pPr>
      <w:r w:rsidRPr="00FF0D56">
        <w:rPr>
          <w:rFonts w:eastAsia="Times New Roman" w:cstheme="minorHAnsi"/>
          <w:lang w:eastAsia="es-ES"/>
        </w:rPr>
        <w:t xml:space="preserve">Suraña ha señalado que este acuerdo “es el punto de partida de una colaboración importante que nos une en torno a la buena arquitectura, a la calidad de nuestras </w:t>
      </w:r>
      <w:r w:rsidRPr="00FF0D56">
        <w:rPr>
          <w:rFonts w:eastAsia="Times New Roman" w:cstheme="minorHAnsi"/>
          <w:lang w:eastAsia="es-ES"/>
        </w:rPr>
        <w:lastRenderedPageBreak/>
        <w:t>ciudades y a la necesidad de ofrecer una respuesta conjunta a los desafíos de la vivienda, el urbanismo y la construcción”. En este sentido, ha destacado que la unión de las tres entidades “no resta capacidad de actuación individual, sino que multiplica nuestra fuerza</w:t>
      </w:r>
      <w:r w:rsidR="005A463C">
        <w:rPr>
          <w:rFonts w:eastAsia="Times New Roman" w:cstheme="minorHAnsi"/>
          <w:lang w:eastAsia="es-ES"/>
        </w:rPr>
        <w:t xml:space="preserve"> e </w:t>
      </w:r>
      <w:r w:rsidRPr="00FF0D56">
        <w:rPr>
          <w:rFonts w:eastAsia="Times New Roman" w:cstheme="minorHAnsi"/>
          <w:lang w:eastAsia="es-ES"/>
        </w:rPr>
        <w:t>interlocución</w:t>
      </w:r>
      <w:r w:rsidR="005A463C">
        <w:rPr>
          <w:rFonts w:eastAsia="Times New Roman" w:cstheme="minorHAnsi"/>
          <w:lang w:eastAsia="es-ES"/>
        </w:rPr>
        <w:t xml:space="preserve"> institucional</w:t>
      </w:r>
      <w:r w:rsidRPr="00FF0D56">
        <w:rPr>
          <w:rFonts w:eastAsia="Times New Roman" w:cstheme="minorHAnsi"/>
          <w:lang w:eastAsia="es-ES"/>
        </w:rPr>
        <w:t xml:space="preserve"> ante la sociedad y las administraciones”.</w:t>
      </w:r>
    </w:p>
    <w:p w14:paraId="5F90D0F2" w14:textId="3B4C37B7" w:rsidR="00C06452" w:rsidRPr="00FF0D56" w:rsidRDefault="00C06452" w:rsidP="00EA2AAE">
      <w:pPr>
        <w:spacing w:before="100" w:beforeAutospacing="1" w:after="100" w:afterAutospacing="1"/>
        <w:jc w:val="both"/>
        <w:rPr>
          <w:rFonts w:eastAsia="Times New Roman" w:cstheme="minorHAnsi"/>
          <w:lang w:eastAsia="es-ES"/>
        </w:rPr>
      </w:pPr>
      <w:r w:rsidRPr="00FF0D56">
        <w:rPr>
          <w:rFonts w:eastAsia="Times New Roman" w:cstheme="minorHAnsi"/>
          <w:lang w:eastAsia="es-ES"/>
        </w:rPr>
        <w:t xml:space="preserve">Por su parte, el presidente de FADECO Contratistas, </w:t>
      </w:r>
      <w:r w:rsidRPr="00430A6A">
        <w:rPr>
          <w:rFonts w:eastAsia="Times New Roman" w:cstheme="minorHAnsi"/>
          <w:b/>
          <w:bCs/>
          <w:lang w:eastAsia="es-ES"/>
        </w:rPr>
        <w:t>Rafael Sánchez Alc</w:t>
      </w:r>
      <w:r w:rsidR="008A475C">
        <w:rPr>
          <w:rFonts w:eastAsia="Times New Roman" w:cstheme="minorHAnsi"/>
          <w:b/>
          <w:bCs/>
          <w:lang w:eastAsia="es-ES"/>
        </w:rPr>
        <w:t>alá</w:t>
      </w:r>
      <w:r w:rsidRPr="00FF0D56">
        <w:rPr>
          <w:rFonts w:eastAsia="Times New Roman" w:cstheme="minorHAnsi"/>
          <w:lang w:eastAsia="es-ES"/>
        </w:rPr>
        <w:t>, ha recordado que se trata de un proyecto en el que las entidades implicadas llevan trabajando más de cuatro años y que culmina ahora con un acuerdo que considera “un auténtico hito a nivel nacional”</w:t>
      </w:r>
      <w:r w:rsidR="00473371">
        <w:rPr>
          <w:rFonts w:eastAsia="Times New Roman" w:cstheme="minorHAnsi"/>
          <w:lang w:eastAsia="es-ES"/>
        </w:rPr>
        <w:t xml:space="preserve">. </w:t>
      </w:r>
      <w:r w:rsidRPr="00FF0D56">
        <w:rPr>
          <w:rFonts w:eastAsia="Times New Roman" w:cstheme="minorHAnsi"/>
          <w:lang w:eastAsia="es-ES"/>
        </w:rPr>
        <w:t>“Es muy importante que aparejadores, arquitectos y constructores se pongan de acuerdo en una herramienta tan necesaria como un banco de precios que permita poner en valor el coste real de las obras y de los honorarios, de manera que los proyectos salgan a la calle completamente definidos desde el punto de vista económico”, ha afirmado,</w:t>
      </w:r>
      <w:r w:rsidR="0076112E">
        <w:rPr>
          <w:rFonts w:eastAsia="Times New Roman" w:cstheme="minorHAnsi"/>
          <w:lang w:eastAsia="es-ES"/>
        </w:rPr>
        <w:t xml:space="preserve"> añadiendo que</w:t>
      </w:r>
      <w:r w:rsidRPr="00FF0D56">
        <w:rPr>
          <w:rFonts w:eastAsia="Times New Roman" w:cstheme="minorHAnsi"/>
          <w:lang w:eastAsia="es-ES"/>
        </w:rPr>
        <w:t xml:space="preserve"> una de las consecuencias más negativas de la falta de actualización de los sistemas de costes ha sido que numerosas obras y licitaciones </w:t>
      </w:r>
      <w:r w:rsidR="00092CAB">
        <w:rPr>
          <w:rFonts w:eastAsia="Times New Roman" w:cstheme="minorHAnsi"/>
          <w:lang w:eastAsia="es-ES"/>
        </w:rPr>
        <w:t>“</w:t>
      </w:r>
      <w:r w:rsidRPr="00FF0D56">
        <w:rPr>
          <w:rFonts w:eastAsia="Times New Roman" w:cstheme="minorHAnsi"/>
          <w:lang w:eastAsia="es-ES"/>
        </w:rPr>
        <w:t>hayan quedado desiertas o no hayan podido ejecutarse adecuadamente porque los presupuestos iniciales no reflejaban la realidad del mercado</w:t>
      </w:r>
      <w:r w:rsidR="00092CAB">
        <w:rPr>
          <w:rFonts w:eastAsia="Times New Roman" w:cstheme="minorHAnsi"/>
          <w:lang w:eastAsia="es-ES"/>
        </w:rPr>
        <w:t>”</w:t>
      </w:r>
      <w:r w:rsidRPr="00FF0D56">
        <w:rPr>
          <w:rFonts w:eastAsia="Times New Roman" w:cstheme="minorHAnsi"/>
          <w:lang w:eastAsia="es-ES"/>
        </w:rPr>
        <w:t>.</w:t>
      </w:r>
    </w:p>
    <w:p w14:paraId="51ACB5FF" w14:textId="77777777" w:rsidR="00C06452" w:rsidRPr="00FF0D56" w:rsidRDefault="00C06452" w:rsidP="00EA2AAE">
      <w:pPr>
        <w:spacing w:before="100" w:beforeAutospacing="1" w:after="100" w:afterAutospacing="1"/>
        <w:jc w:val="both"/>
        <w:rPr>
          <w:rFonts w:eastAsia="Times New Roman" w:cstheme="minorHAnsi"/>
          <w:lang w:eastAsia="es-ES"/>
        </w:rPr>
      </w:pPr>
      <w:r w:rsidRPr="00FF0D56">
        <w:rPr>
          <w:rFonts w:eastAsia="Times New Roman" w:cstheme="minorHAnsi"/>
          <w:lang w:eastAsia="es-ES"/>
        </w:rPr>
        <w:t xml:space="preserve">El presidente del Consejo Andaluz de Colegios Oficiales de Aparejadores y Arquitectos Técnicos, </w:t>
      </w:r>
      <w:r w:rsidRPr="00092CAB">
        <w:rPr>
          <w:rFonts w:eastAsia="Times New Roman" w:cstheme="minorHAnsi"/>
          <w:b/>
          <w:bCs/>
          <w:lang w:eastAsia="es-ES"/>
        </w:rPr>
        <w:t>Jesús Lara Crespo-López</w:t>
      </w:r>
      <w:r w:rsidRPr="00FF0D56">
        <w:rPr>
          <w:rFonts w:eastAsia="Times New Roman" w:cstheme="minorHAnsi"/>
          <w:lang w:eastAsia="es-ES"/>
        </w:rPr>
        <w:t>, ha coincidido en destacar la trascendencia de este acuerdo, señalando que “el banco de costes existía, pero se había ido quedando obsoleto por distintas circunstancias y resultaba cada vez más difícil mantenerlo actualizado con la rapidez que exige el sector”.</w:t>
      </w:r>
    </w:p>
    <w:p w14:paraId="69CEDF8F" w14:textId="77777777" w:rsidR="00C06452" w:rsidRDefault="00C06452" w:rsidP="00EA2AAE">
      <w:pPr>
        <w:spacing w:before="100" w:beforeAutospacing="1" w:after="100" w:afterAutospacing="1"/>
        <w:jc w:val="both"/>
        <w:rPr>
          <w:rFonts w:eastAsia="Times New Roman" w:cstheme="minorHAnsi"/>
          <w:lang w:eastAsia="es-ES"/>
        </w:rPr>
      </w:pPr>
      <w:r w:rsidRPr="00FF0D56">
        <w:rPr>
          <w:rFonts w:eastAsia="Times New Roman" w:cstheme="minorHAnsi"/>
          <w:lang w:eastAsia="es-ES"/>
        </w:rPr>
        <w:t>Lara ha explicado que la herramienta que ahora se pone en marcha cuenta ya con un elevado grado de desarrollo y permitirá ofrecer al conjunto del sector “un banco de precios actualizado, con un número muy importante de partidas y capítulos revisados y adaptados a las exigencias actuales de calidad”.</w:t>
      </w:r>
    </w:p>
    <w:p w14:paraId="5B22891A" w14:textId="4B92F199" w:rsidR="00750C60" w:rsidRPr="001B1DDA" w:rsidRDefault="00840294" w:rsidP="00CB69EC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8"/>
          <w:szCs w:val="28"/>
          <w:lang w:eastAsia="es-ES"/>
        </w:rPr>
      </w:pPr>
      <w:r w:rsidRPr="00840294">
        <w:rPr>
          <w:rFonts w:eastAsia="Times New Roman" w:cstheme="minorHAnsi"/>
          <w:b/>
          <w:bCs/>
          <w:sz w:val="28"/>
          <w:szCs w:val="28"/>
          <w:lang w:eastAsia="es-ES"/>
        </w:rPr>
        <w:t>Costes reales para una construcción viable</w:t>
      </w:r>
    </w:p>
    <w:p w14:paraId="56F2A3FA" w14:textId="77777777" w:rsidR="00750C60" w:rsidRPr="00FF0D56" w:rsidRDefault="00750C60" w:rsidP="00CB69EC">
      <w:pPr>
        <w:spacing w:before="100" w:beforeAutospacing="1" w:after="100" w:afterAutospacing="1"/>
        <w:jc w:val="both"/>
        <w:rPr>
          <w:rFonts w:eastAsia="Times New Roman" w:cstheme="minorHAnsi"/>
          <w:lang w:eastAsia="es-ES"/>
        </w:rPr>
      </w:pPr>
      <w:r w:rsidRPr="00FF0D56">
        <w:rPr>
          <w:rFonts w:eastAsia="Times New Roman" w:cstheme="minorHAnsi"/>
          <w:lang w:eastAsia="es-ES"/>
        </w:rPr>
        <w:t>Durante el encuentro, los representantes de las tres entidades coincidieron en señalar la necesidad de disponer de referencias económicas fiables y permanentemente actualizadas para evitar los desequilibrios que se producen entre la redacción de los proyectos y la ejecución posterior de las obras.</w:t>
      </w:r>
    </w:p>
    <w:p w14:paraId="7BB846F0" w14:textId="03D50C94" w:rsidR="00750C60" w:rsidRPr="00FF0D56" w:rsidRDefault="00750C60" w:rsidP="00CB69EC">
      <w:pPr>
        <w:spacing w:before="100" w:beforeAutospacing="1" w:after="100" w:afterAutospacing="1"/>
        <w:jc w:val="both"/>
        <w:rPr>
          <w:rFonts w:eastAsia="Times New Roman" w:cstheme="minorHAnsi"/>
          <w:lang w:eastAsia="es-ES"/>
        </w:rPr>
      </w:pPr>
      <w:r w:rsidRPr="00FF0D56">
        <w:rPr>
          <w:rFonts w:eastAsia="Times New Roman" w:cstheme="minorHAnsi"/>
          <w:lang w:eastAsia="es-ES"/>
        </w:rPr>
        <w:t xml:space="preserve">En este sentido, </w:t>
      </w:r>
      <w:r w:rsidRPr="000369DD">
        <w:rPr>
          <w:rFonts w:eastAsia="Times New Roman" w:cstheme="minorHAnsi"/>
          <w:b/>
          <w:bCs/>
          <w:lang w:eastAsia="es-ES"/>
        </w:rPr>
        <w:t>Isabel Suraña</w:t>
      </w:r>
      <w:r w:rsidRPr="00FF0D56">
        <w:rPr>
          <w:rFonts w:eastAsia="Times New Roman" w:cstheme="minorHAnsi"/>
          <w:lang w:eastAsia="es-ES"/>
        </w:rPr>
        <w:t xml:space="preserve"> ha recordado que Andalucía venía arrastrando durante años una base de datos insuficientemente actualizada, lo que provocaba que muchas licitaciones nacieran ya con importantes desviaciones respecto a los costes reales del mercado</w:t>
      </w:r>
      <w:r w:rsidR="00CB69EC">
        <w:rPr>
          <w:rFonts w:eastAsia="Times New Roman" w:cstheme="minorHAnsi"/>
          <w:lang w:eastAsia="es-ES"/>
        </w:rPr>
        <w:t xml:space="preserve">: </w:t>
      </w:r>
      <w:r w:rsidRPr="00FF0D56">
        <w:rPr>
          <w:rFonts w:eastAsia="Times New Roman" w:cstheme="minorHAnsi"/>
          <w:lang w:eastAsia="es-ES"/>
        </w:rPr>
        <w:t>“Necesitábamos una base hecha para Andalucía, con precios andaluces, productos andaluces y adaptada a nuestra realidad. Nuestro compromiso es actualizarla cada año para evitar que vuelva a quedar obsoleta y seguir incorporando nuevos parámetros relacionados con la sostenibilidad, la huella de carbono, la circularidad y otros criterios que marcarán el futuro de la construcción”, ha explicado.</w:t>
      </w:r>
    </w:p>
    <w:p w14:paraId="3F226016" w14:textId="6B16E010" w:rsidR="005E5FCF" w:rsidRDefault="005E5FCF" w:rsidP="00CB69EC">
      <w:pPr>
        <w:spacing w:before="100" w:beforeAutospacing="1" w:after="100" w:afterAutospacing="1"/>
        <w:jc w:val="both"/>
        <w:rPr>
          <w:rFonts w:eastAsia="Times New Roman" w:cstheme="minorHAnsi"/>
          <w:lang w:eastAsia="es-ES"/>
        </w:rPr>
      </w:pPr>
      <w:r>
        <w:t xml:space="preserve">La nueva herramienta nace con vocación de adaptarse a los procesos emergentes del sector, incorporando progresivamente referencias vinculadas a la industrialización de la construcción, la rehabilitación edificatoria, la economía circular y los nuevos indicadores </w:t>
      </w:r>
      <w:r>
        <w:lastRenderedPageBreak/>
        <w:t>ambientales exigidos por la normativa europea. De esta forma, el Banco de Costes no solo atenderá a la realidad actual del mercado, sino también a los cambios técnicos, productivos y medioambientales que marcarán el futuro de la edificación.</w:t>
      </w:r>
    </w:p>
    <w:p w14:paraId="28EF8A75" w14:textId="45C8B05B" w:rsidR="00750C60" w:rsidRPr="00FF0D56" w:rsidRDefault="00750C60" w:rsidP="00CB69EC">
      <w:pPr>
        <w:spacing w:before="100" w:beforeAutospacing="1" w:after="100" w:afterAutospacing="1"/>
        <w:jc w:val="both"/>
        <w:rPr>
          <w:rFonts w:eastAsia="Times New Roman" w:cstheme="minorHAnsi"/>
          <w:lang w:eastAsia="es-ES"/>
        </w:rPr>
      </w:pPr>
      <w:r w:rsidRPr="00FF0D56">
        <w:rPr>
          <w:rFonts w:eastAsia="Times New Roman" w:cstheme="minorHAnsi"/>
          <w:lang w:eastAsia="es-ES"/>
        </w:rPr>
        <w:t>La presidenta del CACOA ha defendido además la conveniencia de que la Junta de Andalucía participe activamente en este proceso y pueda respaldar la herramienta para convertirla en referencia de las futuras licitaciones públicas.</w:t>
      </w:r>
      <w:r w:rsidR="00CB69EC">
        <w:rPr>
          <w:rFonts w:eastAsia="Times New Roman" w:cstheme="minorHAnsi"/>
          <w:lang w:eastAsia="es-ES"/>
        </w:rPr>
        <w:t xml:space="preserve"> </w:t>
      </w:r>
      <w:r w:rsidRPr="00FF0D56">
        <w:rPr>
          <w:rFonts w:eastAsia="Times New Roman" w:cstheme="minorHAnsi"/>
          <w:lang w:eastAsia="es-ES"/>
        </w:rPr>
        <w:t>“Nos interesa que la Junta la avale y la utilice porque eso ofrecería una garantía adicional de que los precios son reales, están ajustados al mercado y permiten ejecutar las obras con todas las garantías de viabilidad económica”, ha señalado.</w:t>
      </w:r>
    </w:p>
    <w:p w14:paraId="687A2E99" w14:textId="0A9380D0" w:rsidR="00750C60" w:rsidRPr="00FF0D56" w:rsidRDefault="00750C60" w:rsidP="00CB69EC">
      <w:pPr>
        <w:spacing w:before="100" w:beforeAutospacing="1" w:after="100" w:afterAutospacing="1"/>
        <w:jc w:val="both"/>
        <w:rPr>
          <w:rFonts w:eastAsia="Times New Roman" w:cstheme="minorHAnsi"/>
          <w:lang w:eastAsia="es-ES"/>
        </w:rPr>
      </w:pPr>
      <w:r w:rsidRPr="000369DD">
        <w:rPr>
          <w:rFonts w:eastAsia="Times New Roman" w:cstheme="minorHAnsi"/>
          <w:b/>
          <w:bCs/>
          <w:lang w:eastAsia="es-ES"/>
        </w:rPr>
        <w:t>Rafael Sánchez</w:t>
      </w:r>
      <w:r w:rsidR="00311B36">
        <w:rPr>
          <w:rFonts w:eastAsia="Times New Roman" w:cstheme="minorHAnsi"/>
          <w:lang w:eastAsia="es-ES"/>
        </w:rPr>
        <w:t>,</w:t>
      </w:r>
      <w:r w:rsidRPr="00FF0D56">
        <w:rPr>
          <w:rFonts w:eastAsia="Times New Roman" w:cstheme="minorHAnsi"/>
          <w:lang w:eastAsia="es-ES"/>
        </w:rPr>
        <w:t xml:space="preserve"> ha </w:t>
      </w:r>
      <w:r w:rsidR="00311B36">
        <w:rPr>
          <w:rFonts w:eastAsia="Times New Roman" w:cstheme="minorHAnsi"/>
          <w:lang w:eastAsia="es-ES"/>
        </w:rPr>
        <w:t xml:space="preserve">añadido </w:t>
      </w:r>
      <w:r w:rsidRPr="00FF0D56">
        <w:rPr>
          <w:rFonts w:eastAsia="Times New Roman" w:cstheme="minorHAnsi"/>
          <w:lang w:eastAsia="es-ES"/>
        </w:rPr>
        <w:t>que la nueva herramienta permitirá que los proyectos “salgan con el presupuesto real que necesitan para ser ejecutados”, evitando situaciones actual</w:t>
      </w:r>
      <w:r w:rsidR="00311B36">
        <w:rPr>
          <w:rFonts w:eastAsia="Times New Roman" w:cstheme="minorHAnsi"/>
          <w:lang w:eastAsia="es-ES"/>
        </w:rPr>
        <w:t>es que</w:t>
      </w:r>
      <w:r w:rsidRPr="00FF0D56">
        <w:rPr>
          <w:rFonts w:eastAsia="Times New Roman" w:cstheme="minorHAnsi"/>
          <w:lang w:eastAsia="es-ES"/>
        </w:rPr>
        <w:t xml:space="preserve"> generan importantes dificultades a las empresas constructoras</w:t>
      </w:r>
      <w:r w:rsidR="00311B36">
        <w:rPr>
          <w:rFonts w:eastAsia="Times New Roman" w:cstheme="minorHAnsi"/>
          <w:lang w:eastAsia="es-ES"/>
        </w:rPr>
        <w:t xml:space="preserve">: </w:t>
      </w:r>
      <w:r w:rsidRPr="00FF0D56">
        <w:rPr>
          <w:rFonts w:eastAsia="Times New Roman" w:cstheme="minorHAnsi"/>
          <w:lang w:eastAsia="es-ES"/>
        </w:rPr>
        <w:t>“</w:t>
      </w:r>
      <w:r w:rsidR="00311B36">
        <w:rPr>
          <w:rFonts w:eastAsia="Times New Roman" w:cstheme="minorHAnsi"/>
          <w:lang w:eastAsia="es-ES"/>
        </w:rPr>
        <w:t>No</w:t>
      </w:r>
      <w:r w:rsidR="004B7DE1">
        <w:rPr>
          <w:rFonts w:eastAsia="Times New Roman" w:cstheme="minorHAnsi"/>
          <w:lang w:eastAsia="es-ES"/>
        </w:rPr>
        <w:t xml:space="preserve"> debería ocurrir </w:t>
      </w:r>
      <w:r w:rsidRPr="00FF0D56">
        <w:rPr>
          <w:rFonts w:eastAsia="Times New Roman" w:cstheme="minorHAnsi"/>
          <w:lang w:eastAsia="es-ES"/>
        </w:rPr>
        <w:t>que una obra se licite con unos precios que, seis u ocho meses después, ya no resulten viables económicamente para quien tiene que construirla. Eso no es positivo para nadie y termina perjudicando al conjunto del sector”, ha explicado.</w:t>
      </w:r>
    </w:p>
    <w:p w14:paraId="325A9912" w14:textId="2A960A07" w:rsidR="00750C60" w:rsidRPr="00FF0D56" w:rsidRDefault="005D6252" w:rsidP="00CB69EC">
      <w:pPr>
        <w:spacing w:before="100" w:beforeAutospacing="1" w:after="100" w:afterAutospacing="1"/>
        <w:jc w:val="both"/>
        <w:rPr>
          <w:rFonts w:eastAsia="Times New Roman" w:cstheme="minorHAnsi"/>
          <w:lang w:eastAsia="es-ES"/>
        </w:rPr>
      </w:pPr>
      <w:r>
        <w:rPr>
          <w:rFonts w:eastAsia="Times New Roman" w:cstheme="minorHAnsi"/>
          <w:lang w:eastAsia="es-ES"/>
        </w:rPr>
        <w:t>Por otra parte, a</w:t>
      </w:r>
      <w:r w:rsidR="00750C60" w:rsidRPr="00FF0D56">
        <w:rPr>
          <w:rFonts w:eastAsia="Times New Roman" w:cstheme="minorHAnsi"/>
          <w:lang w:eastAsia="es-ES"/>
        </w:rPr>
        <w:t xml:space="preserve">unque </w:t>
      </w:r>
      <w:r w:rsidR="006B6E47">
        <w:rPr>
          <w:rFonts w:eastAsia="Times New Roman" w:cstheme="minorHAnsi"/>
          <w:lang w:eastAsia="es-ES"/>
        </w:rPr>
        <w:t>el portavoz de los contratistas</w:t>
      </w:r>
      <w:r>
        <w:rPr>
          <w:rFonts w:eastAsia="Times New Roman" w:cstheme="minorHAnsi"/>
          <w:lang w:eastAsia="es-ES"/>
        </w:rPr>
        <w:t xml:space="preserve"> andaluces</w:t>
      </w:r>
      <w:r w:rsidR="006B6E47">
        <w:rPr>
          <w:rFonts w:eastAsia="Times New Roman" w:cstheme="minorHAnsi"/>
          <w:lang w:eastAsia="es-ES"/>
        </w:rPr>
        <w:t xml:space="preserve"> </w:t>
      </w:r>
      <w:r w:rsidR="00750C60" w:rsidRPr="00FF0D56">
        <w:rPr>
          <w:rFonts w:eastAsia="Times New Roman" w:cstheme="minorHAnsi"/>
          <w:lang w:eastAsia="es-ES"/>
        </w:rPr>
        <w:t xml:space="preserve">ha reconocido que el problema de la vivienda </w:t>
      </w:r>
      <w:r>
        <w:rPr>
          <w:rFonts w:eastAsia="Times New Roman" w:cstheme="minorHAnsi"/>
          <w:lang w:eastAsia="es-ES"/>
        </w:rPr>
        <w:t>“</w:t>
      </w:r>
      <w:r w:rsidR="00750C60" w:rsidRPr="00FF0D56">
        <w:rPr>
          <w:rFonts w:eastAsia="Times New Roman" w:cstheme="minorHAnsi"/>
          <w:lang w:eastAsia="es-ES"/>
        </w:rPr>
        <w:t>es mucho más amplio y complejo</w:t>
      </w:r>
      <w:r>
        <w:rPr>
          <w:rFonts w:eastAsia="Times New Roman" w:cstheme="minorHAnsi"/>
          <w:lang w:eastAsia="es-ES"/>
        </w:rPr>
        <w:t>”</w:t>
      </w:r>
      <w:r w:rsidR="00750C60" w:rsidRPr="00FF0D56">
        <w:rPr>
          <w:rFonts w:eastAsia="Times New Roman" w:cstheme="minorHAnsi"/>
          <w:lang w:eastAsia="es-ES"/>
        </w:rPr>
        <w:t xml:space="preserve">, el presidente de FADECO considera que esta iniciativa constituye </w:t>
      </w:r>
      <w:r>
        <w:rPr>
          <w:rFonts w:eastAsia="Times New Roman" w:cstheme="minorHAnsi"/>
          <w:lang w:eastAsia="es-ES"/>
        </w:rPr>
        <w:t>“</w:t>
      </w:r>
      <w:r w:rsidR="00750C60" w:rsidRPr="00FF0D56">
        <w:rPr>
          <w:rFonts w:eastAsia="Times New Roman" w:cstheme="minorHAnsi"/>
          <w:lang w:eastAsia="es-ES"/>
        </w:rPr>
        <w:t>una aportación relevante para mejorar la viabilidad de futuras promociones y facilitar la ejecución efectiva de proyectos</w:t>
      </w:r>
      <w:r>
        <w:rPr>
          <w:rFonts w:eastAsia="Times New Roman" w:cstheme="minorHAnsi"/>
          <w:lang w:eastAsia="es-ES"/>
        </w:rPr>
        <w:t>”.</w:t>
      </w:r>
    </w:p>
    <w:p w14:paraId="34F1A988" w14:textId="780574C3" w:rsidR="00750C60" w:rsidRPr="00FF0D56" w:rsidRDefault="00750C60" w:rsidP="00CB69EC">
      <w:pPr>
        <w:spacing w:before="100" w:beforeAutospacing="1" w:after="100" w:afterAutospacing="1"/>
        <w:jc w:val="both"/>
        <w:rPr>
          <w:rFonts w:eastAsia="Times New Roman" w:cstheme="minorHAnsi"/>
          <w:lang w:eastAsia="es-ES"/>
        </w:rPr>
      </w:pPr>
      <w:r w:rsidRPr="000369DD">
        <w:rPr>
          <w:rFonts w:eastAsia="Times New Roman" w:cstheme="minorHAnsi"/>
          <w:b/>
          <w:bCs/>
          <w:lang w:eastAsia="es-ES"/>
        </w:rPr>
        <w:t>Jesús Lara</w:t>
      </w:r>
      <w:r w:rsidRPr="00FF0D56">
        <w:rPr>
          <w:rFonts w:eastAsia="Times New Roman" w:cstheme="minorHAnsi"/>
          <w:lang w:eastAsia="es-ES"/>
        </w:rPr>
        <w:t xml:space="preserve"> ha querido destacar</w:t>
      </w:r>
      <w:r w:rsidR="005D6252">
        <w:rPr>
          <w:rFonts w:eastAsia="Times New Roman" w:cstheme="minorHAnsi"/>
          <w:lang w:eastAsia="es-ES"/>
        </w:rPr>
        <w:t xml:space="preserve">, por su parte, </w:t>
      </w:r>
      <w:r w:rsidRPr="00FF0D56">
        <w:rPr>
          <w:rFonts w:eastAsia="Times New Roman" w:cstheme="minorHAnsi"/>
          <w:lang w:eastAsia="es-ES"/>
        </w:rPr>
        <w:t>que el acuerdo trasciende el ámbito de la obra pública y nace con vocación de servicio para todo el sector de la construcción andaluz.</w:t>
      </w:r>
      <w:r w:rsidR="005D6252">
        <w:rPr>
          <w:rFonts w:eastAsia="Times New Roman" w:cstheme="minorHAnsi"/>
          <w:lang w:eastAsia="es-ES"/>
        </w:rPr>
        <w:t xml:space="preserve"> </w:t>
      </w:r>
      <w:r w:rsidRPr="00FF0D56">
        <w:rPr>
          <w:rFonts w:eastAsia="Times New Roman" w:cstheme="minorHAnsi"/>
          <w:lang w:eastAsia="es-ES"/>
        </w:rPr>
        <w:t>“El primer paso era que las tres grandes organizaciones representativas del sector compartiéramos una misma herramienta de trabajo. Ahora contamos ya con una base sólida y con un compromiso conjunto para mantenerla, mejorarla y actualizarla cada año”, ha indicado</w:t>
      </w:r>
      <w:r w:rsidR="005D6252">
        <w:rPr>
          <w:rFonts w:eastAsia="Times New Roman" w:cstheme="minorHAnsi"/>
          <w:lang w:eastAsia="es-ES"/>
        </w:rPr>
        <w:t xml:space="preserve"> el portavoz de los arquitectos técnicos andaluces.</w:t>
      </w:r>
    </w:p>
    <w:p w14:paraId="6AB3BDEA" w14:textId="7B73502E" w:rsidR="00C767EE" w:rsidRDefault="00C767EE" w:rsidP="00CB69EC">
      <w:pPr>
        <w:spacing w:before="100" w:beforeAutospacing="1" w:after="100" w:afterAutospacing="1"/>
        <w:jc w:val="both"/>
        <w:rPr>
          <w:rFonts w:eastAsia="Times New Roman" w:cstheme="minorHAnsi"/>
          <w:lang w:eastAsia="es-ES"/>
        </w:rPr>
      </w:pPr>
      <w:r w:rsidRPr="00C767EE">
        <w:rPr>
          <w:rFonts w:eastAsia="Times New Roman" w:cstheme="minorHAnsi"/>
          <w:lang w:eastAsia="es-ES"/>
        </w:rPr>
        <w:t>El convenio contempla además la creación de una Comisión de Seguimiento integrada por las tres entidades firmantes, encargada de supervisar la actualización anual del Banco, incorporar nuevas partidas, revisar contenidos y adaptar la herramienta a los cambios normativos, tecnológicos y de mercado. El objetivo es consolidar un instrumento estable, permanentemente actualizado y útil para el conjunto del sector de la construcción andaluza.</w:t>
      </w:r>
    </w:p>
    <w:p w14:paraId="2A60AEFE" w14:textId="26E02704" w:rsidR="00AF4F74" w:rsidRDefault="00AF4F74" w:rsidP="00CB69EC">
      <w:pPr>
        <w:spacing w:before="100" w:beforeAutospacing="1" w:after="100" w:afterAutospacing="1"/>
        <w:jc w:val="both"/>
        <w:rPr>
          <w:rFonts w:eastAsia="Times New Roman" w:cstheme="minorHAnsi"/>
          <w:lang w:eastAsia="es-ES"/>
        </w:rPr>
      </w:pPr>
      <w:r>
        <w:t>Los promotores del proyecto aspiran igualmente a que el Banco de Costes se convierta en una referencia técnica para otros ámbitos relacionados con el proceso edificatorio, como valoraciones, peritaciones, mediaciones, cálculo de tasas e impuestos o procedimientos de resolución de conflictos, ampliando así su utilidad más allá de la contratación pública y privada.</w:t>
      </w:r>
    </w:p>
    <w:p w14:paraId="1BA90C0B" w14:textId="029CB517" w:rsidR="00750C60" w:rsidRPr="00FF0D56" w:rsidRDefault="00750C60" w:rsidP="00CB69EC">
      <w:pPr>
        <w:spacing w:before="100" w:beforeAutospacing="1" w:after="100" w:afterAutospacing="1"/>
        <w:jc w:val="both"/>
        <w:rPr>
          <w:rFonts w:eastAsia="Times New Roman" w:cstheme="minorHAnsi"/>
          <w:lang w:eastAsia="es-ES"/>
        </w:rPr>
      </w:pPr>
      <w:r w:rsidRPr="00FF0D56">
        <w:rPr>
          <w:rFonts w:eastAsia="Times New Roman" w:cstheme="minorHAnsi"/>
          <w:lang w:eastAsia="es-ES"/>
        </w:rPr>
        <w:t>Al acto</w:t>
      </w:r>
      <w:r w:rsidR="00EF4B8C">
        <w:rPr>
          <w:rFonts w:eastAsia="Times New Roman" w:cstheme="minorHAnsi"/>
          <w:lang w:eastAsia="es-ES"/>
        </w:rPr>
        <w:t>, celebrado en la sede de FADECO,</w:t>
      </w:r>
      <w:r w:rsidRPr="00FF0D56">
        <w:rPr>
          <w:rFonts w:eastAsia="Times New Roman" w:cstheme="minorHAnsi"/>
          <w:lang w:eastAsia="es-ES"/>
        </w:rPr>
        <w:t xml:space="preserve"> asistieron también el secretario general de FADECO Contratistas, Jorge Fernández-Portillo; la secretaria general del CACOA, María de la Barca Fernández-Reinoso; y el consejero del</w:t>
      </w:r>
      <w:r w:rsidR="00AF4F74">
        <w:rPr>
          <w:rFonts w:eastAsia="Times New Roman" w:cstheme="minorHAnsi"/>
          <w:lang w:eastAsia="es-ES"/>
        </w:rPr>
        <w:t xml:space="preserve"> CACOAT</w:t>
      </w:r>
      <w:r w:rsidRPr="00FF0D56">
        <w:rPr>
          <w:rFonts w:eastAsia="Times New Roman" w:cstheme="minorHAnsi"/>
          <w:lang w:eastAsia="es-ES"/>
        </w:rPr>
        <w:t>, Guillermo Vizcaíno Perea.</w:t>
      </w:r>
    </w:p>
    <w:p w14:paraId="0C650988" w14:textId="40F19E11" w:rsidR="009C40D4" w:rsidRPr="00EF4B8C" w:rsidRDefault="009C40D4" w:rsidP="00EF4B8C">
      <w:pPr>
        <w:spacing w:before="100" w:beforeAutospacing="1" w:after="100" w:afterAutospacing="1"/>
        <w:jc w:val="both"/>
        <w:rPr>
          <w:rFonts w:eastAsia="Times New Roman" w:cstheme="minorHAnsi"/>
          <w:lang w:eastAsia="es-ES"/>
        </w:rPr>
      </w:pPr>
      <w:r w:rsidRPr="009C40D4">
        <w:rPr>
          <w:rFonts w:eastAsia="Times New Roman" w:cstheme="minorHAnsi"/>
          <w:lang w:eastAsia="es-ES"/>
        </w:rPr>
        <w:lastRenderedPageBreak/>
        <w:t>Con esta firma, las tres instituciones abren una nueva etapa de colaboración estratégica que aspira a convertirse en un referente nacional de cooperación entre los principales agentes de la edificación, fortaleciendo la calidad de los proyectos, la eficiencia de las licitaciones y la sostenibilidad del sector de la construcción andaluza.</w:t>
      </w:r>
    </w:p>
    <w:p w14:paraId="50A814D4" w14:textId="109BB950" w:rsidR="00F304C4" w:rsidRDefault="00F304C4">
      <w:pPr>
        <w:suppressAutoHyphens w:val="0"/>
        <w:spacing w:line="312" w:lineRule="auto"/>
        <w:jc w:val="both"/>
        <w:rPr>
          <w:rFonts w:ascii="Calibri" w:eastAsia="Times New Roman" w:hAnsi="Calibri" w:cs="Calibri"/>
          <w:sz w:val="22"/>
          <w:szCs w:val="22"/>
        </w:rPr>
      </w:pPr>
    </w:p>
    <w:p w14:paraId="5B33EB18" w14:textId="2C2D119F" w:rsidR="00F304C4" w:rsidRDefault="00DB145A">
      <w:pPr>
        <w:jc w:val="both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1B2704E4" wp14:editId="31365BD1">
            <wp:simplePos x="0" y="0"/>
            <wp:positionH relativeFrom="column">
              <wp:posOffset>3369945</wp:posOffset>
            </wp:positionH>
            <wp:positionV relativeFrom="paragraph">
              <wp:posOffset>18415</wp:posOffset>
            </wp:positionV>
            <wp:extent cx="2245995" cy="587375"/>
            <wp:effectExtent l="0" t="0" r="1905" b="3175"/>
            <wp:wrapSquare wrapText="bothSides"/>
            <wp:docPr id="1567745464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745464" name="Imagen 156774546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5995" cy="58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3792FBCC" wp14:editId="5809BFED">
            <wp:simplePos x="0" y="0"/>
            <wp:positionH relativeFrom="column">
              <wp:posOffset>1901825</wp:posOffset>
            </wp:positionH>
            <wp:positionV relativeFrom="paragraph">
              <wp:posOffset>17377</wp:posOffset>
            </wp:positionV>
            <wp:extent cx="1559560" cy="606828"/>
            <wp:effectExtent l="0" t="0" r="0" b="3175"/>
            <wp:wrapNone/>
            <wp:docPr id="1356606326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606326" name="Imagen 135660632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057" cy="60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Cs/>
          <w:i/>
          <w:iCs/>
          <w:noProof/>
          <w:u w:val="single"/>
        </w:rPr>
        <w:drawing>
          <wp:anchor distT="0" distB="0" distL="114300" distR="114300" simplePos="0" relativeHeight="251664384" behindDoc="0" locked="0" layoutInCell="1" allowOverlap="1" wp14:anchorId="434A36C2" wp14:editId="492F28A0">
            <wp:simplePos x="0" y="0"/>
            <wp:positionH relativeFrom="margin">
              <wp:align>left</wp:align>
            </wp:positionH>
            <wp:positionV relativeFrom="paragraph">
              <wp:posOffset>74295</wp:posOffset>
            </wp:positionV>
            <wp:extent cx="1948180" cy="560070"/>
            <wp:effectExtent l="0" t="0" r="0" b="0"/>
            <wp:wrapSquare wrapText="bothSides"/>
            <wp:docPr id="215564332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564332" name="Imagen 21556433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8180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5266">
        <w:t xml:space="preserve"> </w:t>
      </w:r>
    </w:p>
    <w:sectPr w:rsidR="00F304C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701" w:bottom="1417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93885" w14:textId="77777777" w:rsidR="00273C7A" w:rsidRDefault="00273C7A">
      <w:r>
        <w:separator/>
      </w:r>
    </w:p>
  </w:endnote>
  <w:endnote w:type="continuationSeparator" w:id="0">
    <w:p w14:paraId="3F945522" w14:textId="77777777" w:rsidR="00273C7A" w:rsidRDefault="00273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F0CC9" w14:textId="77777777" w:rsidR="00F304C4" w:rsidRDefault="001D5B75">
    <w:pPr>
      <w:pStyle w:val="Piedepgin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B1D2C1D" wp14:editId="793205FC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3970" cy="13970"/>
              <wp:effectExtent l="1270" t="635" r="3810" b="4445"/>
              <wp:wrapNone/>
              <wp:docPr id="994271776" name="Rectá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970" cy="13970"/>
                      </a:xfrm>
                      <a:custGeom>
                        <a:avLst/>
                        <a:gdLst>
                          <a:gd name="T0" fmla="*/ 0 w 1000"/>
                          <a:gd name="T1" fmla="*/ 0 h 1000"/>
                          <a:gd name="T2" fmla="*/ -127 w 1000"/>
                          <a:gd name="T3" fmla="*/ 0 h 1000"/>
                          <a:gd name="T4" fmla="*/ -127 w 1000"/>
                          <a:gd name="T5" fmla="*/ -127 h 1000"/>
                          <a:gd name="T6" fmla="*/ 0 w 1000"/>
                          <a:gd name="T7" fmla="*/ -127 h 10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1000" h="1000">
                            <a:moveTo>
                              <a:pt x="0" y="0"/>
                            </a:moveTo>
                            <a:lnTo>
                              <a:pt x="-127" y="0"/>
                            </a:lnTo>
                            <a:lnTo>
                              <a:pt x="-127" y="-127"/>
                            </a:lnTo>
                            <a:lnTo>
                              <a:pt x="0" y="-127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Rectángulo 5" o:spid="_x0000_s1026" o:spt="100" style="position:absolute;left:0pt;margin-top:0.05pt;height:1.1pt;width:1.1pt;mso-position-horizontal:right;mso-position-horizontal-relative:margin;z-index:251661312;mso-width-relative:page;mso-height-relative:page;" filled="f" stroked="f" o:allowincell="f" o:gfxdata="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" path="m0,0l-127,0,-127,-127,0,-127xe">
              <v:path o:connectlocs="0,0;-1774,0;-1774,-1774;0,-1774" o:connectangles="0,0,0,0"/>
              <v:fill on="f" focussize="0,0"/>
              <v:stroke on="f"/>
              <v:imagedata o:title=""/>
              <o:lock v:ext="edit" aspectratio="f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60B75" w14:textId="77777777" w:rsidR="00F304C4" w:rsidRDefault="001D5B75">
    <w:pPr>
      <w:pStyle w:val="Piedepgin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0F1C9042" wp14:editId="55D6E34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84150"/>
              <wp:effectExtent l="4445" t="635" r="4445" b="0"/>
              <wp:wrapNone/>
              <wp:docPr id="1501654880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835" cy="184150"/>
                      </a:xfrm>
                      <a:custGeom>
                        <a:avLst/>
                        <a:gdLst>
                          <a:gd name="T0" fmla="*/ 0 w 1000"/>
                          <a:gd name="T1" fmla="*/ 0 h 1000"/>
                          <a:gd name="T2" fmla="*/ -127 w 1000"/>
                          <a:gd name="T3" fmla="*/ 0 h 1000"/>
                          <a:gd name="T4" fmla="*/ -127 w 1000"/>
                          <a:gd name="T5" fmla="*/ -127 h 1000"/>
                          <a:gd name="T6" fmla="*/ 0 w 1000"/>
                          <a:gd name="T7" fmla="*/ -127 h 10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1000" h="1000">
                            <a:moveTo>
                              <a:pt x="0" y="0"/>
                            </a:moveTo>
                            <a:lnTo>
                              <a:pt x="-127" y="0"/>
                            </a:lnTo>
                            <a:lnTo>
                              <a:pt x="-127" y="-127"/>
                            </a:lnTo>
                            <a:lnTo>
                              <a:pt x="0" y="-127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Rectángulo 3" o:spid="_x0000_s1026" o:spt="100" style="position:absolute;left:0pt;margin-top:0.05pt;height:14.5pt;width:6.05pt;mso-position-horizontal:right;mso-position-horizontal-relative:margin;z-index:251662336;mso-width-relative:page;mso-height-relative:page;" filled="f" stroked="f" o:allowincell="f" o:gfxdata="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" path="m0,0l-127,0,-127,-127,0,-127xe">
              <v:path o:connectlocs="0,0;-9758,0;-9758,-23387;0,-23387" o:connectangles="0,0,0,0"/>
              <v:fill on="f" focussize="0,0"/>
              <v:stroke on="f"/>
              <v:imagedata o:title=""/>
              <o:lock v:ext="edit" aspectratio="f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F3471" w14:textId="77777777" w:rsidR="00F304C4" w:rsidRDefault="001D5B75">
    <w:pPr>
      <w:pStyle w:val="Piedepgin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641CD582" wp14:editId="4137D3BD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84150"/>
              <wp:effectExtent l="4445" t="635" r="4445" b="0"/>
              <wp:wrapNone/>
              <wp:docPr id="686951722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835" cy="184150"/>
                      </a:xfrm>
                      <a:custGeom>
                        <a:avLst/>
                        <a:gdLst>
                          <a:gd name="T0" fmla="*/ 0 w 1000"/>
                          <a:gd name="T1" fmla="*/ 0 h 1000"/>
                          <a:gd name="T2" fmla="*/ -127 w 1000"/>
                          <a:gd name="T3" fmla="*/ 0 h 1000"/>
                          <a:gd name="T4" fmla="*/ -127 w 1000"/>
                          <a:gd name="T5" fmla="*/ -127 h 1000"/>
                          <a:gd name="T6" fmla="*/ 0 w 1000"/>
                          <a:gd name="T7" fmla="*/ -127 h 10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1000" h="1000">
                            <a:moveTo>
                              <a:pt x="0" y="0"/>
                            </a:moveTo>
                            <a:lnTo>
                              <a:pt x="-127" y="0"/>
                            </a:lnTo>
                            <a:lnTo>
                              <a:pt x="-127" y="-127"/>
                            </a:lnTo>
                            <a:lnTo>
                              <a:pt x="0" y="-127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Freeform 1" o:spid="_x0000_s1026" o:spt="100" style="position:absolute;left:0pt;margin-top:0.05pt;height:14.5pt;width:6.05pt;mso-position-horizontal:right;mso-position-horizontal-relative:margin;z-index:251664384;mso-width-relative:page;mso-height-relative:page;" filled="f" stroked="f" o:allowincell="f" o:gfxdata="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" path="m0,0l-127,0,-127,-127,0,-127xe">
              <v:path o:connectlocs="0,0;-9758,0;-9758,-23387;0,-23387" o:connectangles="0,0,0,0"/>
              <v:fill on="f" focussize="0,0"/>
              <v:stroke on="f"/>
              <v:imagedata o:title=""/>
              <o:lock v:ext="edit" aspectratio="f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1F202" w14:textId="77777777" w:rsidR="00273C7A" w:rsidRDefault="00273C7A">
      <w:r>
        <w:separator/>
      </w:r>
    </w:p>
  </w:footnote>
  <w:footnote w:type="continuationSeparator" w:id="0">
    <w:p w14:paraId="23345C68" w14:textId="77777777" w:rsidR="00273C7A" w:rsidRDefault="00273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5DA95" w14:textId="77777777" w:rsidR="00F304C4" w:rsidRDefault="00F304C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946BA" w14:textId="77777777" w:rsidR="00F304C4" w:rsidRDefault="001D5B75">
    <w:pPr>
      <w:pStyle w:val="Encabezado"/>
    </w:pPr>
    <w:r>
      <w:rPr>
        <w:noProof/>
        <w:lang w:eastAsia="es-ES"/>
      </w:rPr>
      <w:drawing>
        <wp:anchor distT="0" distB="0" distL="0" distR="0" simplePos="0" relativeHeight="251659264" behindDoc="1" locked="0" layoutInCell="0" allowOverlap="1" wp14:anchorId="23FD4E7B" wp14:editId="47B87995">
          <wp:simplePos x="0" y="0"/>
          <wp:positionH relativeFrom="column">
            <wp:posOffset>0</wp:posOffset>
          </wp:positionH>
          <wp:positionV relativeFrom="paragraph">
            <wp:posOffset>-283845</wp:posOffset>
          </wp:positionV>
          <wp:extent cx="5396230" cy="522605"/>
          <wp:effectExtent l="0" t="0" r="0" b="0"/>
          <wp:wrapSquare wrapText="largest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96230" cy="522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7959C" w14:textId="77777777" w:rsidR="00F304C4" w:rsidRDefault="001D5B75">
    <w:pPr>
      <w:pStyle w:val="Encabezado"/>
    </w:pPr>
    <w:r>
      <w:rPr>
        <w:noProof/>
        <w:lang w:eastAsia="es-ES"/>
      </w:rPr>
      <w:drawing>
        <wp:anchor distT="0" distB="0" distL="0" distR="0" simplePos="0" relativeHeight="251660288" behindDoc="1" locked="0" layoutInCell="0" allowOverlap="1" wp14:anchorId="2FD9260E" wp14:editId="3895C113">
          <wp:simplePos x="0" y="0"/>
          <wp:positionH relativeFrom="column">
            <wp:posOffset>0</wp:posOffset>
          </wp:positionH>
          <wp:positionV relativeFrom="paragraph">
            <wp:posOffset>-283845</wp:posOffset>
          </wp:positionV>
          <wp:extent cx="5396230" cy="522605"/>
          <wp:effectExtent l="0" t="0" r="0" b="0"/>
          <wp:wrapSquare wrapText="largest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96230" cy="522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550F2"/>
    <w:multiLevelType w:val="multilevel"/>
    <w:tmpl w:val="12B550F2"/>
    <w:lvl w:ilvl="0">
      <w:start w:val="1"/>
      <w:numFmt w:val="bullet"/>
      <w:lvlText w:val="•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62871B6"/>
    <w:multiLevelType w:val="multilevel"/>
    <w:tmpl w:val="562871B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EB03E1C"/>
    <w:multiLevelType w:val="multilevel"/>
    <w:tmpl w:val="5EB03E1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61036929">
    <w:abstractNumId w:val="0"/>
  </w:num>
  <w:num w:numId="2" w16cid:durableId="1881630197">
    <w:abstractNumId w:val="2"/>
  </w:num>
  <w:num w:numId="3" w16cid:durableId="346638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C36"/>
    <w:rsid w:val="00031476"/>
    <w:rsid w:val="000369DD"/>
    <w:rsid w:val="0005406E"/>
    <w:rsid w:val="00062B54"/>
    <w:rsid w:val="000644A7"/>
    <w:rsid w:val="0007229A"/>
    <w:rsid w:val="00087F09"/>
    <w:rsid w:val="00092CAB"/>
    <w:rsid w:val="000967BD"/>
    <w:rsid w:val="000A700D"/>
    <w:rsid w:val="000A7770"/>
    <w:rsid w:val="000B4106"/>
    <w:rsid w:val="000B50A6"/>
    <w:rsid w:val="000C6FE0"/>
    <w:rsid w:val="000D3B4C"/>
    <w:rsid w:val="000E40F9"/>
    <w:rsid w:val="00104BA9"/>
    <w:rsid w:val="0011726C"/>
    <w:rsid w:val="001213E9"/>
    <w:rsid w:val="00121F19"/>
    <w:rsid w:val="001460A6"/>
    <w:rsid w:val="0016189C"/>
    <w:rsid w:val="00172F55"/>
    <w:rsid w:val="00174117"/>
    <w:rsid w:val="001874DF"/>
    <w:rsid w:val="001C47D9"/>
    <w:rsid w:val="001D5B75"/>
    <w:rsid w:val="001E52E8"/>
    <w:rsid w:val="002253FC"/>
    <w:rsid w:val="0022628E"/>
    <w:rsid w:val="00261C66"/>
    <w:rsid w:val="00273C7A"/>
    <w:rsid w:val="002759CB"/>
    <w:rsid w:val="00280F07"/>
    <w:rsid w:val="002A38DA"/>
    <w:rsid w:val="002B20FA"/>
    <w:rsid w:val="002C52C2"/>
    <w:rsid w:val="003003F2"/>
    <w:rsid w:val="00311B36"/>
    <w:rsid w:val="00312993"/>
    <w:rsid w:val="00340967"/>
    <w:rsid w:val="00381F2E"/>
    <w:rsid w:val="003A020D"/>
    <w:rsid w:val="003A3B34"/>
    <w:rsid w:val="003B484A"/>
    <w:rsid w:val="003B5A60"/>
    <w:rsid w:val="003C07C7"/>
    <w:rsid w:val="003F19CE"/>
    <w:rsid w:val="003F466A"/>
    <w:rsid w:val="004030AD"/>
    <w:rsid w:val="0040746D"/>
    <w:rsid w:val="00430A6A"/>
    <w:rsid w:val="0044516A"/>
    <w:rsid w:val="00473371"/>
    <w:rsid w:val="00483283"/>
    <w:rsid w:val="00490F1D"/>
    <w:rsid w:val="004A0BE6"/>
    <w:rsid w:val="004B7DE1"/>
    <w:rsid w:val="00501B77"/>
    <w:rsid w:val="005335A6"/>
    <w:rsid w:val="00544206"/>
    <w:rsid w:val="00554F29"/>
    <w:rsid w:val="005613B5"/>
    <w:rsid w:val="00561B8E"/>
    <w:rsid w:val="005626BE"/>
    <w:rsid w:val="00592AD8"/>
    <w:rsid w:val="005A463C"/>
    <w:rsid w:val="005A7421"/>
    <w:rsid w:val="005D6252"/>
    <w:rsid w:val="005E50EF"/>
    <w:rsid w:val="005E5FCF"/>
    <w:rsid w:val="005F0C20"/>
    <w:rsid w:val="005F75AD"/>
    <w:rsid w:val="00632A7E"/>
    <w:rsid w:val="006841EE"/>
    <w:rsid w:val="0068681B"/>
    <w:rsid w:val="006B6E47"/>
    <w:rsid w:val="006D385A"/>
    <w:rsid w:val="006D5C2E"/>
    <w:rsid w:val="006F46CF"/>
    <w:rsid w:val="0074560D"/>
    <w:rsid w:val="00750C60"/>
    <w:rsid w:val="007575AB"/>
    <w:rsid w:val="0076112E"/>
    <w:rsid w:val="00775E80"/>
    <w:rsid w:val="007763F1"/>
    <w:rsid w:val="007A672C"/>
    <w:rsid w:val="007D5266"/>
    <w:rsid w:val="007F0C36"/>
    <w:rsid w:val="00831FD2"/>
    <w:rsid w:val="00840294"/>
    <w:rsid w:val="0084526A"/>
    <w:rsid w:val="008552EA"/>
    <w:rsid w:val="00875FFA"/>
    <w:rsid w:val="0088728C"/>
    <w:rsid w:val="008A475C"/>
    <w:rsid w:val="008C50C0"/>
    <w:rsid w:val="008D7A80"/>
    <w:rsid w:val="008F5B4A"/>
    <w:rsid w:val="00914103"/>
    <w:rsid w:val="009746B7"/>
    <w:rsid w:val="00986CC5"/>
    <w:rsid w:val="009C40D4"/>
    <w:rsid w:val="009D3797"/>
    <w:rsid w:val="009E797A"/>
    <w:rsid w:val="009F44D6"/>
    <w:rsid w:val="009F463F"/>
    <w:rsid w:val="009F6E53"/>
    <w:rsid w:val="00A06B45"/>
    <w:rsid w:val="00A16930"/>
    <w:rsid w:val="00A205DD"/>
    <w:rsid w:val="00A34D4D"/>
    <w:rsid w:val="00A64EC1"/>
    <w:rsid w:val="00A83461"/>
    <w:rsid w:val="00A9029B"/>
    <w:rsid w:val="00AA6B72"/>
    <w:rsid w:val="00AB6B23"/>
    <w:rsid w:val="00AC68A6"/>
    <w:rsid w:val="00AF3AC1"/>
    <w:rsid w:val="00AF4F74"/>
    <w:rsid w:val="00B237DD"/>
    <w:rsid w:val="00B42170"/>
    <w:rsid w:val="00B45BD3"/>
    <w:rsid w:val="00B57389"/>
    <w:rsid w:val="00B6458C"/>
    <w:rsid w:val="00B7773D"/>
    <w:rsid w:val="00B92EBD"/>
    <w:rsid w:val="00BB7812"/>
    <w:rsid w:val="00BC7C9A"/>
    <w:rsid w:val="00C06452"/>
    <w:rsid w:val="00C767EE"/>
    <w:rsid w:val="00C76AF8"/>
    <w:rsid w:val="00C809AF"/>
    <w:rsid w:val="00CB69EC"/>
    <w:rsid w:val="00CB6C30"/>
    <w:rsid w:val="00CE4154"/>
    <w:rsid w:val="00CF2D98"/>
    <w:rsid w:val="00D1543B"/>
    <w:rsid w:val="00D42E35"/>
    <w:rsid w:val="00D4590E"/>
    <w:rsid w:val="00D46BB9"/>
    <w:rsid w:val="00D83810"/>
    <w:rsid w:val="00D844BC"/>
    <w:rsid w:val="00D95D07"/>
    <w:rsid w:val="00DA1E87"/>
    <w:rsid w:val="00DB145A"/>
    <w:rsid w:val="00DB7647"/>
    <w:rsid w:val="00DF1BAB"/>
    <w:rsid w:val="00E177C9"/>
    <w:rsid w:val="00E2667F"/>
    <w:rsid w:val="00E406AE"/>
    <w:rsid w:val="00E76C1C"/>
    <w:rsid w:val="00EA2AAE"/>
    <w:rsid w:val="00EF4B8C"/>
    <w:rsid w:val="00F21ACD"/>
    <w:rsid w:val="00F304C4"/>
    <w:rsid w:val="00F46BBC"/>
    <w:rsid w:val="00F47D89"/>
    <w:rsid w:val="00F50EFD"/>
    <w:rsid w:val="00F528D7"/>
    <w:rsid w:val="00F6348B"/>
    <w:rsid w:val="00F649CB"/>
    <w:rsid w:val="00F7007A"/>
    <w:rsid w:val="00F7719F"/>
    <w:rsid w:val="00F83F75"/>
    <w:rsid w:val="00FA052E"/>
    <w:rsid w:val="00FD7793"/>
    <w:rsid w:val="1AA0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C97D9EC"/>
  <w15:docId w15:val="{D1D8D05A-062B-4B24-9F73-060C2DB90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 w:qFormat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qFormat/>
    <w:rPr>
      <w:i/>
      <w:iCs/>
    </w:rPr>
  </w:style>
  <w:style w:type="character" w:styleId="Hipervnculo">
    <w:name w:val="Hyperlink"/>
    <w:qFormat/>
    <w:rPr>
      <w:color w:val="000080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qFormat/>
    <w:rPr>
      <w:color w:val="954F72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qFormat/>
  </w:style>
  <w:style w:type="character" w:styleId="Fuerte">
    <w:name w:val="Strong"/>
    <w:basedOn w:val="Fuentedeprrafopredeter"/>
    <w:uiPriority w:val="22"/>
    <w:qFormat/>
    <w:rPr>
      <w:b/>
      <w:bCs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ascii="Calibri Light" w:hAnsi="Calibri Light" w:cs="Lucida Sans"/>
      <w:i/>
      <w:iCs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252"/>
        <w:tab w:val="right" w:pos="8504"/>
      </w:tabs>
    </w:pPr>
  </w:style>
  <w:style w:type="paragraph" w:styleId="Lista">
    <w:name w:val="List"/>
    <w:basedOn w:val="Textoindependiente"/>
    <w:qFormat/>
    <w:rPr>
      <w:rFonts w:ascii="Calibri Light" w:hAnsi="Calibri Light" w:cs="Lucida Sans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rFonts w:ascii="Times New Roman" w:eastAsia="Times New Roman" w:hAnsi="Times New Roman" w:cs="Times New Roman"/>
      <w:lang w:eastAsia="es-ES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Calibri Light" w:eastAsia="Microsoft YaHei" w:hAnsi="Calibri Light" w:cs="Lucida Sans"/>
      <w:sz w:val="28"/>
      <w:szCs w:val="28"/>
    </w:rPr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fsl">
    <w:name w:val="fsl"/>
    <w:basedOn w:val="Fuentedeprrafopredeter"/>
    <w:qFormat/>
  </w:style>
  <w:style w:type="character" w:customStyle="1" w:styleId="v1fsl">
    <w:name w:val="v1fsl"/>
    <w:basedOn w:val="Fuentedeprrafopredeter"/>
    <w:qFormat/>
  </w:style>
  <w:style w:type="paragraph" w:customStyle="1" w:styleId="Ttulo1">
    <w:name w:val="Título1"/>
    <w:basedOn w:val="Normal"/>
    <w:next w:val="Textoindependiente"/>
    <w:qFormat/>
    <w:pPr>
      <w:keepNext/>
      <w:spacing w:before="240" w:after="120"/>
    </w:pPr>
    <w:rPr>
      <w:rFonts w:ascii="Calibri Light" w:eastAsia="Microsoft YaHei" w:hAnsi="Calibri Light" w:cs="Lucida Sans"/>
      <w:sz w:val="28"/>
      <w:szCs w:val="28"/>
    </w:rPr>
  </w:style>
  <w:style w:type="paragraph" w:customStyle="1" w:styleId="ndice">
    <w:name w:val="Índice"/>
    <w:basedOn w:val="Normal"/>
    <w:qFormat/>
    <w:pPr>
      <w:suppressLineNumbers/>
    </w:pPr>
    <w:rPr>
      <w:rFonts w:ascii="Calibri Light" w:hAnsi="Calibri Light" w:cs="Lucida Sans"/>
    </w:rPr>
  </w:style>
  <w:style w:type="paragraph" w:customStyle="1" w:styleId="Ttulouser">
    <w:name w:val="Título (user)"/>
    <w:basedOn w:val="Normal"/>
    <w:next w:val="Textoindependiente"/>
    <w:qFormat/>
    <w:pPr>
      <w:keepNext/>
      <w:spacing w:before="240" w:after="120"/>
    </w:pPr>
    <w:rPr>
      <w:rFonts w:ascii="Calibri Light" w:eastAsia="Microsoft YaHei" w:hAnsi="Calibri Light" w:cs="Lucida Sans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ascii="Calibri Light" w:hAnsi="Calibri Light" w:cs="Lucida Sans"/>
    </w:rPr>
  </w:style>
  <w:style w:type="paragraph" w:customStyle="1" w:styleId="Cabeceraypie">
    <w:name w:val="Cabecera y pie"/>
    <w:basedOn w:val="Normal"/>
    <w:qFormat/>
  </w:style>
  <w:style w:type="paragraph" w:customStyle="1" w:styleId="Cabeceraypieuser">
    <w:name w:val="Cabecera y pie (user)"/>
    <w:basedOn w:val="Normal"/>
    <w:qFormat/>
  </w:style>
  <w:style w:type="paragraph" w:customStyle="1" w:styleId="Contenidodelmarcouser">
    <w:name w:val="Contenido del marco (user)"/>
    <w:basedOn w:val="Normal"/>
    <w:qFormat/>
    <w:rPr>
      <w:rFonts w:ascii="Times New Roman" w:eastAsia="Times New Roman" w:hAnsi="Times New Roman" w:cs="Times New Roman"/>
      <w:color w:val="00000A"/>
      <w:lang w:eastAsia="es-ES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  <w:rPr>
      <w:rFonts w:ascii="Times New Roman" w:eastAsia="Times New Roman" w:hAnsi="Times New Roman" w:cs="Times New Roman"/>
      <w:color w:val="00000A"/>
      <w:lang w:eastAsia="es-ES"/>
    </w:rPr>
  </w:style>
  <w:style w:type="paragraph" w:customStyle="1" w:styleId="xmsonormal">
    <w:name w:val="x_msonormal"/>
    <w:basedOn w:val="Normal"/>
    <w:qFormat/>
    <w:pPr>
      <w:spacing w:beforeAutospacing="1" w:afterAutospacing="1"/>
    </w:pPr>
    <w:rPr>
      <w:rFonts w:ascii="Times New Roman" w:eastAsia="Times New Roman" w:hAnsi="Times New Roman" w:cs="Times New Roman"/>
      <w:lang w:eastAsia="es-ES"/>
    </w:rPr>
  </w:style>
  <w:style w:type="paragraph" w:customStyle="1" w:styleId="Contenidodelmarco">
    <w:name w:val="Contenido del marco"/>
    <w:basedOn w:val="Normal"/>
    <w:qFormat/>
  </w:style>
  <w:style w:type="paragraph" w:customStyle="1" w:styleId="normal1">
    <w:name w:val="normal1"/>
    <w:qFormat/>
    <w:pPr>
      <w:spacing w:after="160" w:line="259" w:lineRule="auto"/>
      <w:jc w:val="both"/>
    </w:pPr>
    <w:rPr>
      <w:rFonts w:ascii="Liberation Serif" w:eastAsia="Liberation Serif" w:hAnsi="Liberation Serif" w:cs="Liberation Serif"/>
      <w:color w:val="00000A"/>
      <w:sz w:val="24"/>
      <w:szCs w:val="24"/>
      <w:lang w:eastAsia="zh-CN" w:bidi="hi-IN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Pr>
      <w:color w:val="605E5C"/>
      <w:shd w:val="clear" w:color="auto" w:fill="E1DFDD"/>
    </w:rPr>
  </w:style>
  <w:style w:type="paragraph" w:customStyle="1" w:styleId="paragraph">
    <w:name w:val="paragraph"/>
    <w:basedOn w:val="Normal"/>
    <w:qFormat/>
    <w:pPr>
      <w:suppressAutoHyphens w:val="0"/>
      <w:spacing w:before="100" w:beforeAutospacing="1" w:after="100" w:afterAutospacing="1"/>
    </w:pPr>
    <w:rPr>
      <w:rFonts w:ascii="Times New Roman" w:eastAsiaTheme="minorEastAsia" w:hAnsi="Times New Roman" w:cs="Times New Roman"/>
    </w:rPr>
  </w:style>
  <w:style w:type="character" w:customStyle="1" w:styleId="normaltextrun">
    <w:name w:val="normaltextrun"/>
    <w:basedOn w:val="Fuentedeprrafopredeter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762</Words>
  <Characters>8349</Characters>
  <Application>Microsoft Office Word</Application>
  <DocSecurity>0</DocSecurity>
  <Lines>238</Lines>
  <Paragraphs>107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MIGUEL FERNANDEZ GAZQUEZ</cp:lastModifiedBy>
  <cp:revision>2</cp:revision>
  <cp:lastPrinted>2026-06-05T06:53:00Z</cp:lastPrinted>
  <dcterms:created xsi:type="dcterms:W3CDTF">2026-06-06T06:12:00Z</dcterms:created>
  <dcterms:modified xsi:type="dcterms:W3CDTF">2026-06-06T06:12:00Z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eyJoZGlkIjoiOTgwMjQ4Y2ExNjhlZDA1YjQ3YTkyNTRjOTliMGUyYmQiLCJ1c2VySWQiOiIxODA0MjU5OTk3NzE0In0=</vt:lpwstr>
  </property>
  <property fmtid="{D5CDD505-2E9C-101B-9397-08002B2CF9AE}" pid="3" name="KSOProductBuildVer">
    <vt:lpwstr>3082-12.1.0.26372</vt:lpwstr>
  </property>
  <property fmtid="{D5CDD505-2E9C-101B-9397-08002B2CF9AE}" pid="4" name="ICV">
    <vt:lpwstr>4F1B5A05BE06486F8FBF212A6F0C3DC1_12</vt:lpwstr>
  </property>
</Properties>
</file>